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四平市统计局普查中心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一、主要职能</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二、机构设置</w:t>
      </w:r>
    </w:p>
    <w:p>
      <w:pPr>
        <w:rPr>
          <w:rFonts w:eastAsia="黑体"/>
        </w:rPr>
      </w:pPr>
      <w:r>
        <w:rPr>
          <w:rFonts w:eastAsia="黑体"/>
        </w:rPr>
        <w:t>第二部分  预算表格</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一、收支</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二、收入</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三、支出</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四、财政拨款收支</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五、一般公共预算</w:t>
      </w:r>
      <w:r>
        <w:rPr>
          <w:rFonts w:hint="eastAsia" w:ascii="仿宋_GB2312" w:hAnsi="仿宋_GB2312" w:eastAsia="仿宋_GB2312" w:cs="仿宋_GB2312"/>
          <w:lang w:eastAsia="zh-CN"/>
        </w:rPr>
        <w:t>拨款</w:t>
      </w:r>
      <w:r>
        <w:rPr>
          <w:rFonts w:hint="eastAsia" w:ascii="仿宋_GB2312" w:hAnsi="仿宋_GB2312" w:eastAsia="仿宋_GB2312" w:cs="仿宋_GB2312"/>
        </w:rPr>
        <w:t>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六、一般公共预算基本支出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七、一般公共预算“三公”经费支出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八、政府性基金预算</w:t>
      </w:r>
      <w:r>
        <w:rPr>
          <w:rFonts w:hint="eastAsia" w:ascii="仿宋_GB2312" w:hAnsi="仿宋_GB2312" w:eastAsia="仿宋_GB2312" w:cs="仿宋_GB2312"/>
          <w:lang w:eastAsia="zh-CN"/>
        </w:rPr>
        <w:t>拨款</w:t>
      </w:r>
      <w:r>
        <w:rPr>
          <w:rFonts w:hint="eastAsia" w:ascii="仿宋_GB2312" w:hAnsi="仿宋_GB2312" w:eastAsia="仿宋_GB2312" w:cs="仿宋_GB2312"/>
        </w:rPr>
        <w:t>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九、国有资本经营预算支出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lang w:eastAsia="zh-CN"/>
        </w:rPr>
        <w:t>十、</w:t>
      </w:r>
      <w:r>
        <w:rPr>
          <w:rFonts w:hint="eastAsia" w:ascii="仿宋_GB2312" w:hAnsi="仿宋_GB2312" w:eastAsia="仿宋_GB2312" w:cs="仿宋_GB2312"/>
        </w:rPr>
        <w:t>项目支出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十一、财政拨款委托业务费支出预算表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一）</w:t>
      </w:r>
      <w:r>
        <w:rPr>
          <w:rFonts w:hint="eastAsia" w:ascii="仿宋_GB2312" w:hAnsi="仿宋_GB2312" w:eastAsia="仿宋_GB2312" w:cs="仿宋_GB2312"/>
          <w:color w:val="000000"/>
          <w:szCs w:val="32"/>
        </w:rPr>
        <w:t>为统计工作提供基础信息资料服务。</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二）</w:t>
      </w:r>
      <w:r>
        <w:rPr>
          <w:rFonts w:hint="eastAsia" w:ascii="仿宋_GB2312" w:hAnsi="仿宋_GB2312" w:eastAsia="仿宋_GB2312" w:cs="仿宋_GB2312"/>
          <w:color w:val="000000"/>
          <w:szCs w:val="32"/>
        </w:rPr>
        <w:t>对外有偿进行统计资料的搜集、整理、查询、核算等业务服务。</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三）</w:t>
      </w:r>
      <w:r>
        <w:rPr>
          <w:rFonts w:hint="eastAsia" w:ascii="仿宋_GB2312" w:hAnsi="仿宋_GB2312" w:eastAsia="仿宋_GB2312" w:cs="仿宋_GB2312"/>
          <w:color w:val="000000"/>
          <w:szCs w:val="32"/>
        </w:rPr>
        <w:t>提供统计信息资料服务、负责统计局业务统计资料存档、立卷工作。</w:t>
      </w:r>
    </w:p>
    <w:p>
      <w:pPr>
        <w:ind w:firstLine="640" w:firstLineChars="200"/>
      </w:pPr>
      <w:r>
        <w:rPr>
          <w:rFonts w:hint="eastAsia" w:ascii="楷体" w:hAnsi="楷体" w:eastAsia="楷体" w:cs="楷体"/>
        </w:rPr>
        <w:t>二、机构设置</w:t>
      </w:r>
    </w:p>
    <w:p>
      <w:pPr>
        <w:pStyle w:val="24"/>
        <w:ind w:firstLine="640" w:firstLineChars="200"/>
        <w:rPr>
          <w:rFonts w:hint="eastAsia" w:ascii="仿宋_GB2312" w:hAnsi="仿宋_GB2312" w:eastAsia="仿宋_GB2312" w:cs="仿宋_GB2312"/>
        </w:rPr>
      </w:pPr>
      <w:r>
        <w:rPr>
          <w:rFonts w:hint="eastAsia" w:ascii="仿宋_GB2312" w:hAnsi="仿宋_GB2312" w:eastAsia="仿宋_GB2312" w:cs="仿宋_GB2312"/>
        </w:rPr>
        <w:t>根据实际工作需要，四平市统计局普查中心不设置内设机构。</w:t>
      </w:r>
    </w:p>
    <w:p>
      <w:pPr>
        <w:pStyle w:val="24"/>
        <w:ind w:firstLine="640" w:firstLineChars="200"/>
        <w:rPr>
          <w:rFonts w:hint="eastAsia" w:ascii="仿宋_GB2312" w:hAnsi="仿宋_GB2312" w:eastAsia="仿宋_GB2312" w:cs="仿宋_GB2312"/>
        </w:rPr>
      </w:pPr>
      <w:r>
        <w:rPr>
          <w:rFonts w:hint="eastAsia" w:ascii="仿宋_GB2312" w:hAnsi="仿宋_GB2312" w:eastAsia="仿宋_GB2312" w:cs="仿宋_GB2312"/>
        </w:rPr>
        <w:t>四平市统计局普查中心为编制独立单位。自2022年起依据省财政厅要求，单位预决算独立申报核算，由市统计局统一监管。</w:t>
      </w:r>
    </w:p>
    <w:p>
      <w:pPr>
        <w:pStyle w:val="24"/>
        <w:ind w:firstLine="640" w:firstLineChars="200"/>
        <w:rPr>
          <w:rFonts w:hint="eastAsia" w:ascii="仿宋" w:hAnsi="仿宋" w:eastAsia="仿宋" w:cs="仿宋"/>
        </w:rPr>
      </w:pPr>
      <w:r>
        <w:rPr>
          <w:rFonts w:hint="eastAsia" w:ascii="仿宋_GB2312" w:hAnsi="仿宋_GB2312" w:eastAsia="仿宋_GB2312" w:cs="仿宋_GB2312"/>
        </w:rPr>
        <w:t>本单位无下设预算单位</w:t>
      </w:r>
      <w:r>
        <w:rPr>
          <w:rFonts w:hint="eastAsia" w:ascii="仿宋" w:hAnsi="仿宋" w:eastAsia="仿宋" w:cs="仿宋"/>
        </w:rPr>
        <w:t>。</w:t>
      </w:r>
    </w:p>
    <w:p>
      <w:pPr>
        <w:pStyle w:val="24"/>
        <w:ind w:firstLine="640" w:firstLineChars="200"/>
        <w:rPr>
          <w:rFonts w:eastAsia="楷体"/>
        </w:rPr>
      </w:pPr>
    </w:p>
    <w:p>
      <w:pPr>
        <w:pStyle w:val="24"/>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490.6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490.6</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r>
              <w:rPr>
                <w:rFonts w:hint="eastAsia" w:ascii="宋体" w:hAnsi="宋体" w:eastAsia="宋体" w:cs="宋体"/>
                <w:kern w:val="0"/>
                <w:sz w:val="20"/>
              </w:rPr>
              <w:t>633.99</w:t>
            </w: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sz w:val="20"/>
                <w:lang w:val="en-US" w:eastAsia="zh-CN"/>
              </w:rPr>
              <w:t>二</w:t>
            </w:r>
            <w:r>
              <w:rPr>
                <w:rFonts w:hint="eastAsia" w:ascii="宋体" w:hAnsi="宋体" w:eastAsia="宋体" w:cs="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68.05</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r>
              <w:rPr>
                <w:rFonts w:hint="eastAsia" w:ascii="宋体" w:hAnsi="宋体" w:eastAsia="宋体" w:cs="宋体"/>
                <w:kern w:val="0"/>
                <w:sz w:val="20"/>
              </w:rPr>
              <w:t>68.05</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sz w:val="20"/>
                <w:lang w:val="en-US" w:eastAsia="zh-CN"/>
              </w:rPr>
              <w:t>三</w:t>
            </w:r>
            <w:r>
              <w:rPr>
                <w:rFonts w:hint="eastAsia" w:ascii="宋体" w:hAnsi="宋体" w:eastAsia="宋体" w:cs="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24.9</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r>
              <w:rPr>
                <w:rFonts w:hint="eastAsia" w:ascii="宋体" w:hAnsi="宋体" w:eastAsia="宋体" w:cs="宋体"/>
                <w:kern w:val="0"/>
                <w:sz w:val="20"/>
              </w:rPr>
              <w:t>24.9</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w:t>
            </w:r>
            <w:r>
              <w:rPr>
                <w:rFonts w:hint="eastAsia" w:ascii="宋体" w:hAnsi="宋体" w:eastAsia="宋体" w:cs="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50.44</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r>
              <w:rPr>
                <w:rFonts w:hint="eastAsia" w:ascii="宋体" w:hAnsi="宋体" w:eastAsia="宋体" w:cs="宋体"/>
                <w:kern w:val="0"/>
                <w:sz w:val="20"/>
              </w:rPr>
              <w:t>50.44</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val="0"/>
                <w:bCs w:val="0"/>
                <w:kern w:val="0"/>
                <w:sz w:val="20"/>
              </w:rPr>
              <w:t>633.99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结转下年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lang w:eastAsia="zh-CN"/>
              </w:rPr>
              <w:t>非财政拨款</w:t>
            </w:r>
            <w:r>
              <w:rPr>
                <w:rFonts w:hint="eastAsia" w:ascii="宋体" w:hAnsi="宋体" w:eastAsia="宋体" w:cs="宋体"/>
                <w:sz w:val="20"/>
                <w:lang w:val="en-US" w:eastAsia="zh-CN"/>
              </w:rPr>
              <w:t xml:space="preserve">      </w:t>
            </w:r>
            <w:r>
              <w:rPr>
                <w:rFonts w:hint="eastAsia" w:ascii="宋体" w:hAnsi="宋体" w:eastAsia="宋体" w:cs="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633.99</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10488" w:type="dxa"/>
        <w:jc w:val="center"/>
        <w:tblLayout w:type="fixed"/>
        <w:tblCellMar>
          <w:top w:w="0" w:type="dxa"/>
          <w:left w:w="108" w:type="dxa"/>
          <w:bottom w:w="0" w:type="dxa"/>
          <w:right w:w="108" w:type="dxa"/>
        </w:tblCellMar>
      </w:tblPr>
      <w:tblGrid>
        <w:gridCol w:w="1593"/>
        <w:gridCol w:w="909"/>
        <w:gridCol w:w="976"/>
        <w:gridCol w:w="984"/>
        <w:gridCol w:w="430"/>
        <w:gridCol w:w="430"/>
        <w:gridCol w:w="430"/>
        <w:gridCol w:w="430"/>
        <w:gridCol w:w="430"/>
        <w:gridCol w:w="430"/>
        <w:gridCol w:w="430"/>
        <w:gridCol w:w="430"/>
        <w:gridCol w:w="431"/>
        <w:gridCol w:w="431"/>
        <w:gridCol w:w="431"/>
        <w:gridCol w:w="431"/>
        <w:gridCol w:w="431"/>
        <w:gridCol w:w="431"/>
      </w:tblGrid>
      <w:tr>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pPr>
              <w:autoSpaceDN w:val="0"/>
              <w:jc w:val="left"/>
              <w:textAlignment w:val="center"/>
              <w:rPr>
                <w:rFonts w:eastAsia="华文细黑"/>
                <w:color w:val="000000"/>
                <w:sz w:val="20"/>
              </w:rPr>
            </w:pPr>
          </w:p>
        </w:tc>
        <w:tc>
          <w:tcPr>
            <w:tcW w:w="340"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340" w:type="dxa"/>
            <w:gridSpan w:val="3"/>
            <w:noWrap w:val="0"/>
            <w:vAlign w:val="center"/>
          </w:tcPr>
          <w:p>
            <w:pPr>
              <w:autoSpaceDN w:val="0"/>
              <w:jc w:val="left"/>
              <w:textAlignment w:val="center"/>
              <w:rPr>
                <w:rFonts w:eastAsia="华文细黑"/>
                <w:color w:val="000000"/>
                <w:sz w:val="20"/>
              </w:rPr>
            </w:pPr>
          </w:p>
        </w:tc>
        <w:tc>
          <w:tcPr>
            <w:tcW w:w="340" w:type="dxa"/>
            <w:noWrap w:val="0"/>
            <w:vAlign w:val="center"/>
          </w:tcPr>
          <w:p>
            <w:pPr>
              <w:autoSpaceDN w:val="0"/>
              <w:jc w:val="left"/>
              <w:textAlignment w:val="center"/>
              <w:rPr>
                <w:rFonts w:eastAsia="华文细黑"/>
                <w:color w:val="000000"/>
                <w:sz w:val="20"/>
              </w:rPr>
            </w:pPr>
          </w:p>
        </w:tc>
        <w:tc>
          <w:tcPr>
            <w:tcW w:w="340" w:type="dxa"/>
            <w:noWrap w:val="0"/>
            <w:vAlign w:val="center"/>
          </w:tcPr>
          <w:p>
            <w:pPr>
              <w:autoSpaceDN w:val="0"/>
              <w:jc w:val="left"/>
              <w:textAlignment w:val="center"/>
              <w:rPr>
                <w:rFonts w:eastAsia="华文细黑"/>
                <w:color w:val="000000"/>
                <w:sz w:val="20"/>
              </w:rPr>
            </w:pPr>
          </w:p>
        </w:tc>
        <w:tc>
          <w:tcPr>
            <w:tcW w:w="340" w:type="dxa"/>
            <w:noWrap w:val="0"/>
            <w:vAlign w:val="bottom"/>
          </w:tcPr>
          <w:p>
            <w:pPr>
              <w:autoSpaceDN w:val="0"/>
              <w:jc w:val="right"/>
              <w:textAlignment w:val="bottom"/>
              <w:rPr>
                <w:rFonts w:eastAsia="宋体"/>
                <w:color w:val="000000"/>
                <w:sz w:val="20"/>
              </w:rPr>
            </w:pPr>
          </w:p>
        </w:tc>
        <w:tc>
          <w:tcPr>
            <w:tcW w:w="340"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w:t>
            </w:r>
          </w:p>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总计</w:t>
            </w:r>
          </w:p>
        </w:tc>
        <w:tc>
          <w:tcPr>
            <w:tcW w:w="340"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本年</w:t>
            </w:r>
            <w:r>
              <w:rPr>
                <w:rFonts w:hint="default" w:ascii="宋体" w:hAnsi="宋体" w:eastAsia="宋体" w:cs="宋体"/>
                <w:color w:val="000000"/>
                <w:sz w:val="20"/>
                <w:szCs w:val="20"/>
                <w:shd w:val="clear" w:color="auto" w:fill="FFFFFF"/>
                <w:lang w:eastAsia="zh-CN"/>
              </w:rPr>
              <w:t>收入</w:t>
            </w:r>
          </w:p>
        </w:tc>
        <w:tc>
          <w:tcPr>
            <w:tcW w:w="340" w:type="dxa"/>
            <w:gridSpan w:val="6"/>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p>
        </w:tc>
        <w:tc>
          <w:tcPr>
            <w:tcW w:w="771"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340" w:type="dxa"/>
            <w:gridSpan w:val="3"/>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财政拨款</w:t>
            </w:r>
          </w:p>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收入</w:t>
            </w:r>
          </w:p>
        </w:tc>
        <w:tc>
          <w:tcPr>
            <w:tcW w:w="340"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财政专户管理资金收入</w:t>
            </w:r>
          </w:p>
        </w:tc>
        <w:tc>
          <w:tcPr>
            <w:tcW w:w="340" w:type="dxa"/>
            <w:gridSpan w:val="5"/>
            <w:tcBorders>
              <w:top w:val="single" w:color="000000" w:sz="4" w:space="0"/>
              <w:left w:val="single" w:color="auto"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单位资金收入</w:t>
            </w:r>
          </w:p>
        </w:tc>
        <w:tc>
          <w:tcPr>
            <w:tcW w:w="340"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340" w:type="dxa"/>
            <w:gridSpan w:val="3"/>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财政拨款结转</w:t>
            </w:r>
          </w:p>
        </w:tc>
        <w:tc>
          <w:tcPr>
            <w:tcW w:w="340" w:type="dxa"/>
            <w:gridSpan w:val="2"/>
            <w:tcBorders>
              <w:top w:val="single" w:color="000000" w:sz="4" w:space="0"/>
              <w:left w:val="single" w:color="auto"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77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7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auto"/>
                <w:lang w:eastAsia="zh-CN"/>
              </w:rPr>
              <w:t>一般公共预算收入</w:t>
            </w:r>
          </w:p>
        </w:tc>
        <w:tc>
          <w:tcPr>
            <w:tcW w:w="340"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国有资本经营预算收入</w:t>
            </w:r>
          </w:p>
        </w:tc>
        <w:tc>
          <w:tcPr>
            <w:tcW w:w="34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事业单位经营收入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上级补助收入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附属单位上缴收入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其他收入</w:t>
            </w:r>
          </w:p>
        </w:tc>
        <w:tc>
          <w:tcPr>
            <w:tcW w:w="3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default"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default" w:eastAsia="宋体"/>
                <w:color w:val="000000"/>
                <w:sz w:val="20"/>
                <w:szCs w:val="20"/>
                <w:shd w:val="clear" w:color="auto" w:fill="FFFFFF"/>
                <w:lang w:eastAsia="zh-CN"/>
              </w:rPr>
              <w:t>结转</w:t>
            </w:r>
          </w:p>
          <w:p>
            <w:pPr>
              <w:widowControl/>
              <w:ind w:left="113" w:leftChars="0" w:right="113" w:rightChars="0"/>
              <w:jc w:val="center"/>
              <w:rPr>
                <w:rFonts w:hint="eastAsia" w:ascii="宋体" w:hAnsi="宋体" w:eastAsia="宋体" w:cs="宋体"/>
                <w:color w:val="000000"/>
                <w:sz w:val="20"/>
                <w:szCs w:val="20"/>
                <w:shd w:val="clear" w:color="auto" w:fill="FFFFFF"/>
                <w:lang w:eastAsia="zh-CN"/>
              </w:rPr>
            </w:pPr>
          </w:p>
        </w:tc>
        <w:tc>
          <w:tcPr>
            <w:tcW w:w="34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四平市统计局普查中心</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7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3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kern w:val="0"/>
                <w:sz w:val="20"/>
                <w:szCs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7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633.99</w:t>
            </w:r>
          </w:p>
        </w:tc>
        <w:tc>
          <w:tcPr>
            <w:tcW w:w="3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11137"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合</w:t>
                  </w:r>
                  <w:r>
                    <w:rPr>
                      <w:rFonts w:hint="eastAsia" w:ascii="宋体" w:hAnsi="宋体" w:eastAsia="宋体" w:cs="宋体"/>
                      <w:color w:val="000000"/>
                      <w:kern w:val="0"/>
                      <w:sz w:val="20"/>
                      <w:szCs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支出</w:t>
                  </w:r>
                </w:p>
                <w:p>
                  <w:pPr>
                    <w:widowControl/>
                    <w:jc w:val="center"/>
                    <w:rPr>
                      <w:rFonts w:hint="eastAsia" w:ascii="宋体" w:hAnsi="宋体" w:eastAsia="宋体" w:cs="宋体"/>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事业单位</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61.13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r>
                    <w:rPr>
                      <w:rFonts w:hint="eastAsia" w:ascii="宋体" w:hAnsi="宋体" w:eastAsia="宋体" w:cs="宋体"/>
                      <w:kern w:val="0"/>
                      <w:sz w:val="20"/>
                      <w:szCs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r>
                    <w:rPr>
                      <w:rFonts w:hint="eastAsia" w:ascii="宋体" w:hAnsi="宋体" w:eastAsia="宋体" w:cs="宋体"/>
                      <w:kern w:val="0"/>
                      <w:sz w:val="20"/>
                      <w:szCs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490.6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490.6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68.05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68.05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（三）</w:t>
                  </w:r>
                  <w:r>
                    <w:rPr>
                      <w:rFonts w:hint="eastAsia" w:ascii="宋体" w:hAnsi="宋体" w:eastAsia="宋体" w:cs="宋体"/>
                      <w:color w:val="000000"/>
                      <w:sz w:val="20"/>
                      <w:szCs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24.9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24.9</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（四）</w:t>
                  </w:r>
                  <w:r>
                    <w:rPr>
                      <w:rFonts w:hint="eastAsia" w:ascii="宋体" w:hAnsi="宋体" w:eastAsia="宋体" w:cs="宋体"/>
                      <w:color w:val="000000"/>
                      <w:kern w:val="0"/>
                      <w:sz w:val="20"/>
                      <w:szCs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50.44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50.44</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szCs w:val="20"/>
                    </w:rPr>
                  </w:pPr>
                  <w:r>
                    <w:rPr>
                      <w:rFonts w:hint="eastAsia" w:ascii="宋体" w:hAnsi="宋体" w:eastAsia="宋体" w:cs="宋体"/>
                      <w:kern w:val="0"/>
                      <w:sz w:val="20"/>
                      <w:szCs w:val="20"/>
                      <w:lang w:eastAsia="zh-CN"/>
                    </w:rPr>
                    <w:t>二、</w:t>
                  </w:r>
                  <w:r>
                    <w:rPr>
                      <w:rFonts w:hint="eastAsia" w:ascii="宋体" w:hAnsi="宋体" w:eastAsia="宋体" w:cs="宋体"/>
                      <w:kern w:val="0"/>
                      <w:sz w:val="20"/>
                      <w:szCs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jc w:val="center"/>
                    <w:rPr>
                      <w:rFonts w:hint="eastAsia" w:ascii="宋体" w:hAnsi="宋体" w:eastAsia="宋体" w:cs="宋体"/>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424.96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65.64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424.96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65.64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490.60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424.96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65.64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61.13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61.13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61.13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633.99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568.35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65.64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10"/>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558.73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558.73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230.97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230.97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kern w:val="0"/>
                <w:sz w:val="20"/>
              </w:rPr>
            </w:pPr>
            <w:r>
              <w:rPr>
                <w:rFonts w:hint="eastAsia" w:ascii="宋体" w:hAnsi="宋体" w:eastAsia="宋体" w:cs="宋体"/>
                <w:i w:val="0"/>
                <w:iCs w:val="0"/>
                <w:color w:val="000000"/>
                <w:kern w:val="0"/>
                <w:sz w:val="16"/>
                <w:szCs w:val="16"/>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0.66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62.56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62.56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114.49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114.49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61.13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61.13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21.46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21.46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2.77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3.34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3.34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50.44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50.44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4.40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4.40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62.80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62.80</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10.00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10.00</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7.89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7.89</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6.00</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8.00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8.00</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0.63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0.63</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2.35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2.35</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6.71</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12.16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12.16</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9.06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9.06</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9.62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9.62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color w:val="000000"/>
                <w:sz w:val="20"/>
              </w:rPr>
            </w:pPr>
            <w:r>
              <w:rPr>
                <w:rFonts w:hint="eastAsia" w:ascii="宋体" w:hAnsi="宋体" w:eastAsia="宋体" w:cs="宋体"/>
                <w:i w:val="0"/>
                <w:iCs w:val="0"/>
                <w:color w:val="000000"/>
                <w:kern w:val="0"/>
                <w:sz w:val="16"/>
                <w:szCs w:val="16"/>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rPr>
            </w:pPr>
            <w:r>
              <w:rPr>
                <w:rFonts w:hint="eastAsia" w:ascii="宋体" w:hAnsi="宋体" w:eastAsia="宋体" w:cs="宋体"/>
                <w:i w:val="0"/>
                <w:iCs w:val="0"/>
                <w:color w:val="000000"/>
                <w:kern w:val="0"/>
                <w:sz w:val="16"/>
                <w:szCs w:val="16"/>
                <w:u w:val="none"/>
                <w:lang w:val="en-US" w:eastAsia="zh-CN" w:bidi="ar"/>
              </w:rPr>
              <w:t>6.92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6.92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rPr>
            </w:pP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2.84</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i w:val="0"/>
                <w:iCs w:val="0"/>
                <w:color w:val="000000"/>
                <w:kern w:val="0"/>
                <w:sz w:val="16"/>
                <w:szCs w:val="16"/>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16"/>
                <w:szCs w:val="16"/>
                <w:u w:val="none"/>
                <w:lang w:val="en-US" w:eastAsia="zh-CN" w:bidi="ar"/>
              </w:rPr>
              <w:t>2.84</w:t>
            </w:r>
          </w:p>
        </w:tc>
      </w:tr>
      <w:tr>
        <w:tblPrEx>
          <w:tblCellMar>
            <w:top w:w="0" w:type="dxa"/>
            <w:left w:w="108" w:type="dxa"/>
            <w:bottom w:w="0" w:type="dxa"/>
            <w:right w:w="108" w:type="dxa"/>
          </w:tblCellMar>
        </w:tblPrEx>
        <w:trPr>
          <w:cantSplit/>
          <w:trHeight w:val="340"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633.99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568.35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65.64</w:t>
            </w:r>
          </w:p>
        </w:tc>
      </w:tr>
    </w:tbl>
    <w:p>
      <w:pPr>
        <w:rPr>
          <w:sz w:val="16"/>
          <w:szCs w:val="16"/>
        </w:rPr>
      </w:pPr>
    </w:p>
    <w:p>
      <w:pPr>
        <w:rPr>
          <w:sz w:val="16"/>
          <w:szCs w:val="16"/>
        </w:rPr>
      </w:pPr>
    </w:p>
    <w:tbl>
      <w:tblPr>
        <w:tblStyle w:val="10"/>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r>
              <w:rPr>
                <w:rFonts w:hint="eastAsia" w:ascii="仿宋_GB2312" w:hAnsi="仿宋_GB2312" w:eastAsia="仿宋_GB2312" w:cs="仿宋_GB2312"/>
                <w:color w:val="000000"/>
                <w:kern w:val="0"/>
                <w:sz w:val="20"/>
                <w:szCs w:val="20"/>
                <w:lang w:val="en-US" w:eastAsia="zh-CN"/>
              </w:rPr>
              <w:t>说明：</w:t>
            </w:r>
            <w:r>
              <w:rPr>
                <w:rFonts w:hint="eastAsia" w:ascii="仿宋_GB2312" w:hAnsi="仿宋_GB2312" w:eastAsia="仿宋_GB2312" w:cs="仿宋_GB2312"/>
                <w:color w:val="000000"/>
                <w:kern w:val="0"/>
                <w:sz w:val="20"/>
                <w:szCs w:val="20"/>
                <w:lang w:eastAsia="zh-CN"/>
              </w:rPr>
              <w:t>本单位2025年无一般公共预算“三公”经费支出预算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color w:val="000000"/>
                <w:kern w:val="0"/>
                <w:sz w:val="20"/>
                <w:szCs w:val="20"/>
                <w:lang w:eastAsia="zh-CN"/>
              </w:rPr>
              <w:t>。</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spacing w:line="7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说明：本单位2025年无政府性基金预算拨款支出预算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kern w:val="0"/>
          <w:sz w:val="20"/>
          <w:szCs w:val="20"/>
        </w:rPr>
        <w:t>。</w:t>
      </w:r>
    </w:p>
    <w:p>
      <w:pPr>
        <w:rPr>
          <w:rFonts w:eastAsia="楷体"/>
          <w:kern w:val="0"/>
          <w:szCs w:val="32"/>
        </w:rPr>
      </w:pPr>
      <w:r>
        <w:rPr>
          <w:rFonts w:eastAsia="楷体"/>
          <w:kern w:val="0"/>
          <w:szCs w:val="32"/>
        </w:rPr>
        <w:t xml:space="preserve">    </w:t>
      </w:r>
    </w:p>
    <w:p>
      <w:pPr>
        <w:ind w:firstLine="640" w:firstLineChars="200"/>
        <w:rPr>
          <w:rFonts w:eastAsia="楷体"/>
          <w:kern w:val="0"/>
          <w:szCs w:val="32"/>
        </w:rPr>
      </w:pPr>
    </w:p>
    <w:p>
      <w:pPr>
        <w:ind w:firstLine="640" w:firstLineChars="200"/>
        <w:rPr>
          <w:rFonts w:eastAsia="楷体"/>
          <w:kern w:val="0"/>
          <w:szCs w:val="32"/>
        </w:rPr>
      </w:pP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10"/>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说明：本单位2025年无国有资本经营预算支出预算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kern w:val="0"/>
          <w:sz w:val="20"/>
          <w:szCs w:val="20"/>
        </w:rPr>
        <w:t>。</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8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527"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86"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86"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86"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86"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479" w:type="dxa"/>
            <w:noWrap w:val="0"/>
            <w:vAlign w:val="center"/>
          </w:tcPr>
          <w:p>
            <w:pPr>
              <w:spacing w:line="700" w:lineRule="exact"/>
              <w:jc w:val="center"/>
              <w:rPr>
                <w:rFonts w:ascii="Calibri" w:hAnsi="Calibri" w:eastAsia="楷体"/>
                <w:kern w:val="0"/>
                <w:szCs w:val="32"/>
              </w:rPr>
            </w:pPr>
          </w:p>
        </w:tc>
        <w:tc>
          <w:tcPr>
            <w:tcW w:w="686"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单位名称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hAnsi="楷体" w:eastAsia="楷体"/>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按照综合预算的原则，所有收入和支出全部纳入</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预算管理。收入包括：一般公共预算拨款收入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支出包括：一般公共服务支出、社会保障和就业支出、住房保障支出。202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年收支总预算633.99万元</w:t>
      </w:r>
      <w:r>
        <w:rPr>
          <w:rFonts w:hint="eastAsia" w:ascii="仿宋_GB2312" w:hAnsi="仿宋_GB2312" w:eastAsia="仿宋_GB2312" w:cs="仿宋_GB2312"/>
          <w:szCs w:val="32"/>
          <w:lang w:eastAsia="zh-CN"/>
        </w:rPr>
        <w:t>，其中：本年预算</w:t>
      </w:r>
      <w:r>
        <w:rPr>
          <w:rFonts w:hint="eastAsia" w:ascii="仿宋_GB2312" w:hAnsi="仿宋_GB2312" w:eastAsia="仿宋_GB2312" w:cs="仿宋_GB2312"/>
          <w:szCs w:val="32"/>
        </w:rPr>
        <w:t>633.99</w:t>
      </w:r>
      <w:r>
        <w:rPr>
          <w:rFonts w:hint="eastAsia" w:ascii="仿宋_GB2312" w:hAnsi="仿宋_GB2312" w:eastAsia="仿宋_GB2312" w:cs="仿宋_GB2312"/>
          <w:szCs w:val="32"/>
          <w:lang w:eastAsia="zh-CN"/>
        </w:rPr>
        <w:t>万元。</w:t>
      </w:r>
      <w:r>
        <w:rPr>
          <w:rFonts w:hint="eastAsia" w:ascii="仿宋_GB2312" w:hAnsi="仿宋_GB2312" w:eastAsia="仿宋_GB2312" w:cs="仿宋_GB2312"/>
          <w:szCs w:val="32"/>
          <w:lang w:val="en-US" w:eastAsia="zh-CN"/>
        </w:rPr>
        <w:t>2025年本年预算</w:t>
      </w:r>
      <w:r>
        <w:rPr>
          <w:rFonts w:hint="eastAsia" w:ascii="仿宋_GB2312" w:hAnsi="仿宋_GB2312" w:eastAsia="仿宋_GB2312" w:cs="仿宋_GB2312"/>
          <w:szCs w:val="32"/>
        </w:rPr>
        <w:t>比202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当年</w:t>
      </w:r>
      <w:r>
        <w:rPr>
          <w:rFonts w:hint="eastAsia" w:ascii="仿宋_GB2312" w:hAnsi="仿宋_GB2312" w:eastAsia="仿宋_GB2312" w:cs="仿宋_GB2312"/>
          <w:szCs w:val="32"/>
        </w:rPr>
        <w:t>预算增加</w:t>
      </w:r>
      <w:r>
        <w:rPr>
          <w:rFonts w:hint="eastAsia" w:ascii="仿宋_GB2312" w:hAnsi="仿宋_GB2312" w:eastAsia="仿宋_GB2312" w:cs="仿宋_GB2312"/>
          <w:szCs w:val="32"/>
          <w:lang w:val="en-US" w:eastAsia="zh-CN"/>
        </w:rPr>
        <w:t>29.59</w:t>
      </w:r>
      <w:r>
        <w:rPr>
          <w:rFonts w:hint="eastAsia" w:ascii="仿宋_GB2312" w:hAnsi="仿宋_GB2312" w:eastAsia="仿宋_GB2312" w:cs="仿宋_GB2312"/>
          <w:szCs w:val="32"/>
        </w:rPr>
        <w:t>万元，主要原因是</w:t>
      </w:r>
      <w:r>
        <w:rPr>
          <w:rFonts w:hint="eastAsia" w:ascii="仿宋_GB2312" w:hAnsi="仿宋_GB2312" w:eastAsia="仿宋_GB2312" w:cs="仿宋_GB2312"/>
          <w:szCs w:val="32"/>
          <w:lang w:val="en-US" w:eastAsia="zh-CN"/>
        </w:rPr>
        <w:t>本年度工资调资增加</w:t>
      </w:r>
      <w:r>
        <w:rPr>
          <w:rFonts w:hint="eastAsia" w:ascii="仿宋_GB2312" w:hAnsi="仿宋_GB2312" w:eastAsia="仿宋_GB2312" w:cs="仿宋_GB2312"/>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rFonts w:hint="eastAsia" w:ascii="仿宋" w:hAnsi="仿宋" w:eastAsia="仿宋" w:cs="仿宋"/>
          <w:szCs w:val="32"/>
          <w:lang w:eastAsia="zh-CN"/>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年收入预算</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万元，其中：本年收入</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%。本年收入中，一般公共预算拨款收入</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年支出预算</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万元，其中：基本支出</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rFonts w:eastAsia="黑体"/>
          <w:szCs w:val="30"/>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年财政拨款收支总预算</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万元，其中：本年</w:t>
      </w:r>
      <w:r>
        <w:rPr>
          <w:rFonts w:hint="eastAsia" w:ascii="仿宋_GB2312" w:hAnsi="仿宋_GB2312" w:eastAsia="仿宋_GB2312" w:cs="仿宋_GB2312"/>
          <w:szCs w:val="32"/>
          <w:lang w:eastAsia="zh-CN"/>
        </w:rPr>
        <w:t>预算</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万元。支出包括：</w:t>
      </w:r>
      <w:r>
        <w:rPr>
          <w:rFonts w:hint="eastAsia" w:ascii="仿宋_GB2312" w:hAnsi="仿宋_GB2312" w:eastAsia="仿宋_GB2312" w:cs="仿宋_GB2312"/>
          <w:kern w:val="0"/>
          <w:szCs w:val="32"/>
        </w:rPr>
        <w:t>一般公共服务支出</w:t>
      </w:r>
      <w:r>
        <w:rPr>
          <w:rFonts w:hint="eastAsia" w:ascii="仿宋_GB2312" w:hAnsi="仿宋_GB2312" w:eastAsia="仿宋_GB2312" w:cs="仿宋_GB2312"/>
          <w:szCs w:val="32"/>
          <w:lang w:val="en-US" w:eastAsia="zh-CN"/>
        </w:rPr>
        <w:t>490.6</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社会保障和就业支出</w:t>
      </w:r>
      <w:r>
        <w:rPr>
          <w:rFonts w:hint="eastAsia" w:ascii="仿宋_GB2312" w:hAnsi="仿宋_GB2312" w:eastAsia="仿宋_GB2312" w:cs="仿宋_GB2312"/>
          <w:szCs w:val="32"/>
        </w:rPr>
        <w:t>68.05万元，</w:t>
      </w:r>
      <w:r>
        <w:rPr>
          <w:rFonts w:hint="eastAsia" w:ascii="仿宋_GB2312" w:hAnsi="仿宋_GB2312" w:eastAsia="仿宋_GB2312" w:cs="仿宋_GB2312"/>
          <w:kern w:val="0"/>
          <w:szCs w:val="32"/>
        </w:rPr>
        <w:t>卫生健康支出</w:t>
      </w:r>
      <w:r>
        <w:rPr>
          <w:rFonts w:hint="eastAsia" w:ascii="仿宋_GB2312" w:hAnsi="仿宋_GB2312" w:eastAsia="仿宋_GB2312" w:cs="仿宋_GB2312"/>
          <w:szCs w:val="32"/>
        </w:rPr>
        <w:t>24.9万元，</w:t>
      </w:r>
      <w:r>
        <w:rPr>
          <w:rFonts w:hint="eastAsia" w:ascii="仿宋_GB2312" w:hAnsi="仿宋_GB2312" w:eastAsia="仿宋_GB2312" w:cs="仿宋_GB2312"/>
          <w:kern w:val="0"/>
          <w:szCs w:val="32"/>
        </w:rPr>
        <w:t>住房保障支出</w:t>
      </w:r>
      <w:r>
        <w:rPr>
          <w:rFonts w:hint="eastAsia" w:ascii="仿宋_GB2312" w:hAnsi="仿宋_GB2312" w:eastAsia="仿宋_GB2312" w:cs="仿宋_GB2312"/>
          <w:szCs w:val="32"/>
        </w:rPr>
        <w:t>50.44万元。</w:t>
      </w:r>
      <w:r>
        <w:rPr>
          <w:rFonts w:hint="eastAsia" w:ascii="仿宋_GB2312" w:hAnsi="仿宋_GB2312" w:eastAsia="仿宋_GB2312" w:cs="仿宋_GB2312"/>
          <w:szCs w:val="32"/>
        </w:rPr>
        <w:br w:type="page"/>
      </w:r>
      <w:r>
        <w:rPr>
          <w:rFonts w:hint="eastAsia" w:eastAsia="楷体"/>
          <w:szCs w:val="32"/>
          <w:lang w:val="en-US" w:eastAsia="zh-CN"/>
        </w:rPr>
        <w:t xml:space="preserve">    </w:t>
      </w: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年一般公共预算拨款</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万元，其中：基本支出</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%。基本支出中，人员经费568.35万元，占</w:t>
      </w:r>
      <w:r>
        <w:rPr>
          <w:rFonts w:hint="eastAsia" w:ascii="仿宋_GB2312" w:hAnsi="仿宋_GB2312" w:eastAsia="仿宋_GB2312" w:cs="仿宋_GB2312"/>
          <w:szCs w:val="32"/>
          <w:lang w:val="en-US" w:eastAsia="zh-CN"/>
        </w:rPr>
        <w:t>89.6</w:t>
      </w:r>
      <w:r>
        <w:rPr>
          <w:rFonts w:hint="eastAsia" w:ascii="仿宋_GB2312" w:hAnsi="仿宋_GB2312" w:eastAsia="仿宋_GB2312" w:cs="仿宋_GB2312"/>
          <w:szCs w:val="32"/>
        </w:rPr>
        <w:t>%；公用经费65.64万元，占</w:t>
      </w:r>
      <w:r>
        <w:rPr>
          <w:rFonts w:hint="eastAsia" w:ascii="仿宋_GB2312" w:hAnsi="仿宋_GB2312" w:eastAsia="仿宋_GB2312" w:cs="仿宋_GB2312"/>
          <w:szCs w:val="32"/>
          <w:lang w:val="en-US" w:eastAsia="zh-CN"/>
        </w:rPr>
        <w:t>10.4</w:t>
      </w:r>
      <w:r>
        <w:rPr>
          <w:rFonts w:hint="eastAsia" w:ascii="仿宋_GB2312" w:hAnsi="仿宋_GB2312" w:eastAsia="仿宋_GB2312" w:cs="仿宋_GB2312"/>
          <w:szCs w:val="32"/>
        </w:rPr>
        <w:t>%。</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一般公共服务（类）支出490.6万元，占</w:t>
      </w:r>
      <w:r>
        <w:rPr>
          <w:rFonts w:hint="eastAsia" w:ascii="仿宋_GB2312" w:hAnsi="仿宋_GB2312" w:eastAsia="仿宋_GB2312" w:cs="仿宋_GB2312"/>
          <w:szCs w:val="32"/>
          <w:lang w:val="en-US" w:eastAsia="zh-CN"/>
        </w:rPr>
        <w:t>77.38</w:t>
      </w:r>
      <w:r>
        <w:rPr>
          <w:rFonts w:hint="eastAsia" w:ascii="仿宋_GB2312" w:hAnsi="仿宋_GB2312" w:eastAsia="仿宋_GB2312" w:cs="仿宋_GB2312"/>
          <w:szCs w:val="32"/>
        </w:rPr>
        <w:t>%，主要用于保障职工工资，维持机关正常运行，完成年度统计工作任务。</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社会保障和就业（类）支出</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8.05万元，占</w:t>
      </w:r>
      <w:r>
        <w:rPr>
          <w:rFonts w:hint="eastAsia" w:ascii="仿宋_GB2312" w:hAnsi="仿宋_GB2312" w:eastAsia="仿宋_GB2312" w:cs="仿宋_GB2312"/>
          <w:szCs w:val="32"/>
          <w:lang w:val="en-US" w:eastAsia="zh-CN"/>
        </w:rPr>
        <w:t>10.73</w:t>
      </w:r>
      <w:r>
        <w:rPr>
          <w:rFonts w:hint="eastAsia" w:ascii="仿宋_GB2312" w:hAnsi="仿宋_GB2312" w:eastAsia="仿宋_GB2312" w:cs="仿宋_GB2312"/>
          <w:szCs w:val="32"/>
        </w:rPr>
        <w:t>%，主要用于保障离退休职工工资及机关单位基本养老保险缴费支出。</w:t>
      </w:r>
    </w:p>
    <w:p>
      <w:pPr>
        <w:ind w:firstLine="6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卫生健康（类）支出</w:t>
      </w:r>
      <w:r>
        <w:rPr>
          <w:rFonts w:hint="eastAsia" w:ascii="仿宋_GB2312" w:hAnsi="仿宋_GB2312" w:eastAsia="仿宋_GB2312" w:cs="仿宋_GB2312"/>
          <w:szCs w:val="32"/>
        </w:rPr>
        <w:t>24.9万元，占</w:t>
      </w:r>
      <w:r>
        <w:rPr>
          <w:rFonts w:hint="eastAsia" w:ascii="仿宋_GB2312" w:hAnsi="仿宋_GB2312" w:eastAsia="仿宋_GB2312" w:cs="仿宋_GB2312"/>
          <w:szCs w:val="32"/>
          <w:lang w:val="en-US" w:eastAsia="zh-CN"/>
        </w:rPr>
        <w:t>3.93</w:t>
      </w:r>
      <w:r>
        <w:rPr>
          <w:rFonts w:hint="eastAsia" w:ascii="仿宋_GB2312" w:hAnsi="仿宋_GB2312" w:eastAsia="仿宋_GB2312" w:cs="仿宋_GB2312"/>
          <w:szCs w:val="32"/>
        </w:rPr>
        <w:t>%，主要用于缴纳职工医疗保险。</w:t>
      </w:r>
    </w:p>
    <w:p>
      <w:pPr>
        <w:ind w:firstLine="600"/>
        <w:rPr>
          <w:rFonts w:hint="eastAsia" w:ascii="仿宋_GB2312" w:hAnsi="仿宋_GB2312" w:eastAsia="仿宋_GB2312" w:cs="仿宋_GB2312"/>
          <w:szCs w:val="32"/>
        </w:rPr>
      </w:pPr>
      <w:r>
        <w:rPr>
          <w:rFonts w:hint="eastAsia" w:ascii="仿宋_GB2312" w:hAnsi="仿宋_GB2312" w:eastAsia="仿宋_GB2312" w:cs="仿宋_GB2312"/>
          <w:szCs w:val="32"/>
        </w:rPr>
        <w:t>住房保障（类）支出50.44万元，占</w:t>
      </w:r>
      <w:r>
        <w:rPr>
          <w:rFonts w:hint="eastAsia" w:ascii="仿宋_GB2312" w:hAnsi="仿宋_GB2312" w:eastAsia="仿宋_GB2312" w:cs="仿宋_GB2312"/>
          <w:szCs w:val="32"/>
          <w:lang w:val="en-US" w:eastAsia="zh-CN"/>
        </w:rPr>
        <w:t>7.96</w:t>
      </w:r>
      <w:r>
        <w:rPr>
          <w:rFonts w:hint="eastAsia" w:ascii="仿宋_GB2312" w:hAnsi="仿宋_GB2312" w:eastAsia="仿宋_GB2312" w:cs="仿宋_GB2312"/>
          <w:szCs w:val="32"/>
        </w:rPr>
        <w:t>%，主要用于缴纳职工住房公积金。</w:t>
      </w:r>
    </w:p>
    <w:p>
      <w:pPr>
        <w:ind w:firstLine="6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年一般公共预算基本支出</w:t>
      </w:r>
      <w:r>
        <w:rPr>
          <w:rFonts w:hint="eastAsia" w:ascii="仿宋_GB2312" w:hAnsi="仿宋_GB2312" w:eastAsia="仿宋_GB2312" w:cs="仿宋_GB2312"/>
          <w:szCs w:val="32"/>
          <w:lang w:val="en-US" w:eastAsia="zh-CN"/>
        </w:rPr>
        <w:t>633.99</w:t>
      </w:r>
      <w:r>
        <w:rPr>
          <w:rFonts w:hint="eastAsia" w:ascii="仿宋_GB2312" w:hAnsi="仿宋_GB2312" w:eastAsia="仿宋_GB2312" w:cs="仿宋_GB2312"/>
          <w:szCs w:val="32"/>
        </w:rPr>
        <w:t>万元，其中：</w:t>
      </w:r>
    </w:p>
    <w:p>
      <w:pPr>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szCs w:val="32"/>
        </w:rPr>
        <w:t>人员经费568.35万元，主要包括：</w:t>
      </w:r>
      <w:r>
        <w:rPr>
          <w:rFonts w:hint="eastAsia" w:ascii="仿宋_GB2312" w:hAnsi="仿宋_GB2312" w:eastAsia="仿宋_GB2312" w:cs="仿宋_GB2312"/>
          <w:kern w:val="0"/>
          <w:szCs w:val="32"/>
        </w:rPr>
        <w:t>基本工资、津贴补贴、奖金、</w:t>
      </w:r>
      <w:r>
        <w:rPr>
          <w:rFonts w:hint="eastAsia" w:ascii="仿宋_GB2312" w:hAnsi="仿宋_GB2312" w:eastAsia="仿宋_GB2312" w:cs="仿宋_GB2312"/>
          <w:kern w:val="0"/>
          <w:szCs w:val="32"/>
          <w:lang w:val="en-US" w:eastAsia="zh-CN"/>
        </w:rPr>
        <w:t>绩效工资、</w:t>
      </w:r>
      <w:r>
        <w:rPr>
          <w:rFonts w:hint="eastAsia" w:ascii="仿宋_GB2312" w:hAnsi="仿宋_GB2312" w:eastAsia="仿宋_GB2312" w:cs="仿宋_GB2312"/>
          <w:kern w:val="0"/>
          <w:szCs w:val="32"/>
        </w:rPr>
        <w:t>机关事业单位基本养老保险缴费、职工基本医疗保险缴费、公务员医疗补助缴费</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其他社会保障缴费、住房公积金、医疗费、其他工资福利支出、退休费、其他对个人和家庭的补助支出。</w:t>
      </w:r>
    </w:p>
    <w:p>
      <w:pPr>
        <w:ind w:firstLine="640" w:firstLineChars="200"/>
        <w:rPr>
          <w:rFonts w:eastAsia="黑体"/>
          <w:szCs w:val="30"/>
        </w:rPr>
      </w:pPr>
      <w:r>
        <w:rPr>
          <w:rFonts w:hint="eastAsia" w:ascii="仿宋_GB2312" w:hAnsi="仿宋_GB2312" w:eastAsia="仿宋_GB2312" w:cs="仿宋_GB2312"/>
          <w:kern w:val="0"/>
          <w:szCs w:val="32"/>
        </w:rPr>
        <w:t>公用经费</w:t>
      </w:r>
      <w:r>
        <w:rPr>
          <w:rFonts w:hint="eastAsia" w:ascii="仿宋_GB2312" w:hAnsi="仿宋_GB2312" w:eastAsia="仿宋_GB2312" w:cs="仿宋_GB2312"/>
          <w:szCs w:val="32"/>
        </w:rPr>
        <w:t>65.64万元，主要包括：</w:t>
      </w:r>
      <w:r>
        <w:rPr>
          <w:rFonts w:hint="eastAsia" w:ascii="仿宋_GB2312" w:hAnsi="仿宋_GB2312" w:eastAsia="仿宋_GB2312" w:cs="仿宋_GB2312"/>
          <w:kern w:val="0"/>
          <w:szCs w:val="32"/>
        </w:rPr>
        <w:t>办公费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印刷费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差旅费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维修（护）费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会议费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培训费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工会经费、福利费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其他商品和服务支出</w:t>
      </w:r>
      <w:r>
        <w:rPr>
          <w:rFonts w:hint="eastAsia" w:ascii="仿宋_GB2312" w:hAnsi="仿宋_GB2312" w:eastAsia="仿宋_GB2312" w:cs="仿宋_GB2312"/>
          <w:kern w:val="0"/>
          <w:szCs w:val="32"/>
          <w:lang w:eastAsia="zh-CN"/>
        </w:rPr>
        <w:t>、办公设备购置</w:t>
      </w:r>
      <w:r>
        <w:rPr>
          <w:rFonts w:hint="eastAsia" w:ascii="仿宋_GB2312" w:hAnsi="仿宋_GB2312" w:eastAsia="仿宋_GB2312" w:cs="仿宋_GB2312"/>
          <w:kern w:val="0"/>
          <w:szCs w:val="32"/>
        </w:rPr>
        <w:t>。</w:t>
      </w:r>
      <w:r>
        <w:rPr>
          <w:rFonts w:hint="eastAsia" w:ascii="仿宋_GB2312" w:hAnsi="仿宋_GB2312" w:eastAsia="仿宋_GB2312" w:cs="仿宋_GB2312"/>
          <w:szCs w:val="32"/>
        </w:rPr>
        <w:br w:type="page"/>
      </w:r>
      <w:r>
        <w:rPr>
          <w:rFonts w:hint="eastAsia" w:eastAsia="楷体"/>
          <w:szCs w:val="32"/>
          <w:lang w:val="en-US" w:eastAsia="zh-CN"/>
        </w:rPr>
        <w:t xml:space="preserve">    </w:t>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hint="eastAsia"/>
          <w:szCs w:val="32"/>
          <w:lang w:val="en-US" w:eastAsia="zh-CN"/>
        </w:rPr>
      </w:pPr>
      <w:r>
        <w:rPr>
          <w:rFonts w:hint="eastAsia"/>
          <w:szCs w:val="32"/>
          <w:lang w:eastAsia="zh-CN"/>
        </w:rPr>
        <w:t>本单位无一般公共预算拨款“三公”经费</w:t>
      </w:r>
      <w:r>
        <w:rPr>
          <w:rFonts w:hint="eastAsia"/>
          <w:szCs w:val="32"/>
          <w:lang w:val="en-US" w:eastAsia="zh-CN"/>
        </w:rPr>
        <w:t>拨款</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 xml:space="preserve">  </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无政府性基金预算拨款</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无国有资本经营预算拨款</w:t>
      </w:r>
      <w:r>
        <w:rPr>
          <w:rFonts w:hint="eastAsia" w:ascii="仿宋_GB2312" w:hAnsi="仿宋_GB2312" w:eastAsia="仿宋_GB2312" w:cs="仿宋_GB2312"/>
          <w:szCs w:val="32"/>
          <w:lang w:eastAsia="zh-CN"/>
        </w:rPr>
        <w:t>。</w:t>
      </w:r>
    </w:p>
    <w:p>
      <w:pPr>
        <w:ind w:firstLine="640" w:firstLineChars="200"/>
        <w:rPr>
          <w:rFonts w:hint="eastAsia" w:eastAsia="黑体"/>
          <w:szCs w:val="32"/>
        </w:rPr>
      </w:pPr>
      <w:r>
        <w:rPr>
          <w:rFonts w:hint="eastAsia" w:eastAsia="黑体"/>
          <w:szCs w:val="32"/>
        </w:rPr>
        <w:t>十、其他重要事项的说明情况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本单位无机关运行经费预算拨款。</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本单位无政府采购预算拨款。</w:t>
      </w:r>
    </w:p>
    <w:p>
      <w:pPr>
        <w:spacing w:line="540" w:lineRule="exact"/>
        <w:ind w:firstLine="640" w:firstLineChars="200"/>
        <w:rPr>
          <w:rFonts w:hint="eastAsia" w:eastAsia="楷体"/>
          <w:szCs w:val="32"/>
        </w:rPr>
      </w:pPr>
      <w:r>
        <w:rPr>
          <w:rFonts w:hint="eastAsia" w:eastAsia="楷体"/>
          <w:szCs w:val="32"/>
        </w:rPr>
        <w:t>（三）国有资产占有使用情况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截至202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年8月底，</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本级和所属各预算单位共有车辆</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辆，土地</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平方米，房屋</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平方米，单价50万元以上设备</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台/套。</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预算安排购置车辆</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辆，安排购置土地</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平方米，安排购置房屋</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平方米，计划新增单价50万元以上设备</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项目支出</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万元，其中：一级项目</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个，二级项目</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个；使用本年拨款</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万元，财政拨款结转</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_GB2312" w:hAnsi="仿宋_GB2312" w:eastAsia="仿宋_GB2312" w:cs="仿宋_GB2312"/>
          <w:szCs w:val="32"/>
        </w:rPr>
      </w:pPr>
      <w:r>
        <w:rPr>
          <w:rFonts w:hint="eastAsia" w:ascii="仿宋_GB2312" w:hAnsi="仿宋_GB2312" w:eastAsia="仿宋_GB2312" w:cs="仿宋_GB2312"/>
        </w:rPr>
        <w:t>按照全面实施预算绩效管理的要求，结合本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职能和重点工作，202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eastAsia="zh-CN"/>
        </w:rPr>
        <w:t>将</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rPr>
        <w:t>个项目支出的绩效目标和指标向社会公开，涉</w:t>
      </w:r>
      <w:bookmarkStart w:id="0" w:name="_GoBack"/>
      <w:bookmarkEnd w:id="0"/>
      <w:r>
        <w:rPr>
          <w:rFonts w:hint="eastAsia" w:ascii="仿宋_GB2312" w:hAnsi="仿宋_GB2312" w:eastAsia="仿宋_GB2312" w:cs="仿宋_GB2312"/>
        </w:rPr>
        <w:t>及金额</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rPr>
        <w:t>万元。</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纳入财政预决算管理的“三公”经费，是指单位用财政拨款安排的因公出国（境）费、公务用车购置及运行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kern w:val="0"/>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default"/>
        </w:rPr>
        <w:t>单位</w:t>
      </w:r>
      <w:r>
        <w:rPr>
          <w:rFonts w:hint="eastAsia"/>
        </w:rPr>
        <w:t>预算安排的项目支出在一定期限内预期达到的产出和效果。</w:t>
      </w: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p>
  <w:p>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lvBo/DAQAAcQ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EOJ4xZXdPrx/fTz9+nXN9Is83wG&#10;H1tMu/eYmMa3MOKeZ39EZ6Y9qmDzFwkRjOOkj5fpyjERkR+tmtWqxpDA2HzB+tXDcx9iei/Bkmww&#10;GnB9Zar8cBfTlDqn5G4ObrQxZYXG/eXAmtlTZewTxmylcTueCW2hOyIfVC726SF8pWRAFTDqUKaU&#10;mFuHQ86CmY0wG9vZ4E7gQ0YTJZP5Lk3C2vugd32RWgYV/Zt9QqSFQIYx9T6jw72WEZw1mIXz+F6y&#10;Hv6U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OW8Gj8MBAABxAwAADgAAAAAAAAABACAA&#10;AAA0AQAAZHJzL2Uyb0RvYy54bWxQSwUGAAAAAAYABgBZAQAAa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KLSSuAQAASwMAAA4AAABkcnMv&#10;ZTJvRG9jLnhtbK1TS27bMBDdB+gdCO5rKl4UgmA5aBGkKFA0AdIcgKZIiwB/4NCWfIHmBlllk33P&#10;5XN0SEtO2u6KbqjhzPDNezOj1dVoDdnLCNq7ll4uKkqkE77TbtvSh+8372tKIHHXceOdbOlBAr1a&#10;v7tYDaGRS99708lIEMRBM4SW9imFhjEQvbQcFj5Ih0Hlo+UJr3HLusgHRLeGLavqAxt87EL0QgKg&#10;9/oUpOuCr5QU6VYpkImYliK3VM5Yzk0+2XrFm23koddiosH/gYXl2mHRM9Q1T5zsov4LymoRPXiV&#10;FsJb5pXSQhYNqOay+kPNfc+DLFqwORDObYL/Byu+7e8i0R3OjhLHLY7o+PR4fP55fPlB6tyeIUCD&#10;WfcB89L4yY85dfIDOrPqUUWbv6iHYBwbfTg3V46JiPyoXtZ1hSGBsfmCOOz1eYiQPktvSTZaGnF6&#10;pal8/xXSKXVOydWcv9HGoJ83xv3mQMzsYZn7iWO20rgZJ+Ib3x1Qz4CDb6nDzaTEfHHY17wjsxFn&#10;YzMbuxD1ti9LlOtB+LhLSKJwyxVOsFNhnFhRN21XXom395L1+g+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AotJK4BAABLAwAADgAAAAAAAAABACAAAAA0AQAAZHJzL2Uyb0RvYy54bWxQ&#10;SwUGAAAAAAYABgBZAQAAV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0A627E"/>
    <w:rsid w:val="063949A0"/>
    <w:rsid w:val="06407F8F"/>
    <w:rsid w:val="06BD5BC7"/>
    <w:rsid w:val="06F008FF"/>
    <w:rsid w:val="075E138C"/>
    <w:rsid w:val="077E1262"/>
    <w:rsid w:val="079E5032"/>
    <w:rsid w:val="09015F14"/>
    <w:rsid w:val="091C5C63"/>
    <w:rsid w:val="09421190"/>
    <w:rsid w:val="09A0082A"/>
    <w:rsid w:val="09F84E6E"/>
    <w:rsid w:val="0A00435B"/>
    <w:rsid w:val="0A351AE2"/>
    <w:rsid w:val="0AAA1697"/>
    <w:rsid w:val="0ABA06FE"/>
    <w:rsid w:val="0B49202F"/>
    <w:rsid w:val="0B5F5ADA"/>
    <w:rsid w:val="0B956BE6"/>
    <w:rsid w:val="0C2A5C84"/>
    <w:rsid w:val="0C4F64D9"/>
    <w:rsid w:val="0C583939"/>
    <w:rsid w:val="0C6D1BAE"/>
    <w:rsid w:val="0D2A2435"/>
    <w:rsid w:val="0D57493C"/>
    <w:rsid w:val="0DA001B0"/>
    <w:rsid w:val="0DEB170B"/>
    <w:rsid w:val="0E4C7841"/>
    <w:rsid w:val="0E97506F"/>
    <w:rsid w:val="0EAF340D"/>
    <w:rsid w:val="0F3E0406"/>
    <w:rsid w:val="0F980230"/>
    <w:rsid w:val="0FD62F63"/>
    <w:rsid w:val="0FDE2A27"/>
    <w:rsid w:val="0FFF7E67"/>
    <w:rsid w:val="10AE7F82"/>
    <w:rsid w:val="10C93B35"/>
    <w:rsid w:val="11177619"/>
    <w:rsid w:val="112605C8"/>
    <w:rsid w:val="11A6707B"/>
    <w:rsid w:val="11B35B2F"/>
    <w:rsid w:val="12810624"/>
    <w:rsid w:val="12E711B7"/>
    <w:rsid w:val="136D62BD"/>
    <w:rsid w:val="136E4388"/>
    <w:rsid w:val="13F21722"/>
    <w:rsid w:val="1441443C"/>
    <w:rsid w:val="14C12787"/>
    <w:rsid w:val="15593E10"/>
    <w:rsid w:val="159F7E25"/>
    <w:rsid w:val="15F848D0"/>
    <w:rsid w:val="160E1FA5"/>
    <w:rsid w:val="160F2600"/>
    <w:rsid w:val="16C829AB"/>
    <w:rsid w:val="16DD34F5"/>
    <w:rsid w:val="17171557"/>
    <w:rsid w:val="17765BCA"/>
    <w:rsid w:val="17775522"/>
    <w:rsid w:val="17A027D8"/>
    <w:rsid w:val="17CC2625"/>
    <w:rsid w:val="17EF7DDE"/>
    <w:rsid w:val="19132BE0"/>
    <w:rsid w:val="191F4716"/>
    <w:rsid w:val="1954649C"/>
    <w:rsid w:val="1A817DF8"/>
    <w:rsid w:val="1A8A6135"/>
    <w:rsid w:val="1A8F455C"/>
    <w:rsid w:val="1ADC594E"/>
    <w:rsid w:val="1ADD0AA9"/>
    <w:rsid w:val="1AEB5252"/>
    <w:rsid w:val="1B8A03E4"/>
    <w:rsid w:val="1B9C1459"/>
    <w:rsid w:val="1BD25A4D"/>
    <w:rsid w:val="1C852172"/>
    <w:rsid w:val="1CA40C0C"/>
    <w:rsid w:val="1CFF4A32"/>
    <w:rsid w:val="1D003925"/>
    <w:rsid w:val="1D833200"/>
    <w:rsid w:val="1E3A3FD0"/>
    <w:rsid w:val="1EB55C07"/>
    <w:rsid w:val="1F351A10"/>
    <w:rsid w:val="1F857EA5"/>
    <w:rsid w:val="1FED47E9"/>
    <w:rsid w:val="206816AC"/>
    <w:rsid w:val="21134335"/>
    <w:rsid w:val="217B28B0"/>
    <w:rsid w:val="226E581D"/>
    <w:rsid w:val="22A4003E"/>
    <w:rsid w:val="23135C25"/>
    <w:rsid w:val="23B1063E"/>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ACA0963"/>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087FC3"/>
    <w:rsid w:val="32332703"/>
    <w:rsid w:val="32CF2C5D"/>
    <w:rsid w:val="32EE2C61"/>
    <w:rsid w:val="33391D55"/>
    <w:rsid w:val="335402B5"/>
    <w:rsid w:val="339466B2"/>
    <w:rsid w:val="33D12D6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EEDDEB6"/>
    <w:rsid w:val="3F8201A3"/>
    <w:rsid w:val="3FB427C9"/>
    <w:rsid w:val="402675EA"/>
    <w:rsid w:val="40B80EFF"/>
    <w:rsid w:val="41A35364"/>
    <w:rsid w:val="41C31686"/>
    <w:rsid w:val="41C837BC"/>
    <w:rsid w:val="421643AC"/>
    <w:rsid w:val="425B1F85"/>
    <w:rsid w:val="42982B4E"/>
    <w:rsid w:val="429F5D0C"/>
    <w:rsid w:val="42D83665"/>
    <w:rsid w:val="434A6B47"/>
    <w:rsid w:val="436B1E42"/>
    <w:rsid w:val="456D114B"/>
    <w:rsid w:val="45EB670F"/>
    <w:rsid w:val="46AB7C0D"/>
    <w:rsid w:val="46D44808"/>
    <w:rsid w:val="46DA5E03"/>
    <w:rsid w:val="46ED776B"/>
    <w:rsid w:val="479D2523"/>
    <w:rsid w:val="47CF49E6"/>
    <w:rsid w:val="4803505C"/>
    <w:rsid w:val="4866767E"/>
    <w:rsid w:val="48674ED2"/>
    <w:rsid w:val="487708E6"/>
    <w:rsid w:val="48B540F2"/>
    <w:rsid w:val="493F6F72"/>
    <w:rsid w:val="49645F71"/>
    <w:rsid w:val="499F5C68"/>
    <w:rsid w:val="4A52465C"/>
    <w:rsid w:val="4A5C4AC6"/>
    <w:rsid w:val="4A662FBF"/>
    <w:rsid w:val="4AF16062"/>
    <w:rsid w:val="4B076C12"/>
    <w:rsid w:val="4B0A57E5"/>
    <w:rsid w:val="4B3B68BB"/>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9C604E"/>
    <w:rsid w:val="50A4703E"/>
    <w:rsid w:val="51276023"/>
    <w:rsid w:val="51282B99"/>
    <w:rsid w:val="51311520"/>
    <w:rsid w:val="5136104F"/>
    <w:rsid w:val="51465EDE"/>
    <w:rsid w:val="515B05A9"/>
    <w:rsid w:val="52071113"/>
    <w:rsid w:val="52085509"/>
    <w:rsid w:val="522774C4"/>
    <w:rsid w:val="522A7431"/>
    <w:rsid w:val="525A440D"/>
    <w:rsid w:val="52626449"/>
    <w:rsid w:val="544E511A"/>
    <w:rsid w:val="545F7ABE"/>
    <w:rsid w:val="5472334E"/>
    <w:rsid w:val="54741940"/>
    <w:rsid w:val="54810E66"/>
    <w:rsid w:val="54C063E4"/>
    <w:rsid w:val="54C2556E"/>
    <w:rsid w:val="54D70AFE"/>
    <w:rsid w:val="55480EEF"/>
    <w:rsid w:val="555314A7"/>
    <w:rsid w:val="569B7F91"/>
    <w:rsid w:val="56D21BED"/>
    <w:rsid w:val="572651B2"/>
    <w:rsid w:val="57AE5C26"/>
    <w:rsid w:val="57DD75A9"/>
    <w:rsid w:val="57E93E30"/>
    <w:rsid w:val="5801059F"/>
    <w:rsid w:val="58256ABD"/>
    <w:rsid w:val="58C27FDB"/>
    <w:rsid w:val="59472AC7"/>
    <w:rsid w:val="59D514A6"/>
    <w:rsid w:val="59EC6E09"/>
    <w:rsid w:val="5A5654C0"/>
    <w:rsid w:val="5AB343F7"/>
    <w:rsid w:val="5ABF50F2"/>
    <w:rsid w:val="5AF25D13"/>
    <w:rsid w:val="5AF76904"/>
    <w:rsid w:val="5B052E7A"/>
    <w:rsid w:val="5B3D7F7E"/>
    <w:rsid w:val="5B7C7777"/>
    <w:rsid w:val="5BEC6771"/>
    <w:rsid w:val="5C1378B8"/>
    <w:rsid w:val="5C681D31"/>
    <w:rsid w:val="5CA506B9"/>
    <w:rsid w:val="5CF74CE4"/>
    <w:rsid w:val="5D5A7C63"/>
    <w:rsid w:val="5E256F6F"/>
    <w:rsid w:val="5E273498"/>
    <w:rsid w:val="5EBD2BD2"/>
    <w:rsid w:val="5F6235A9"/>
    <w:rsid w:val="5F781C91"/>
    <w:rsid w:val="5F9DB70F"/>
    <w:rsid w:val="60505BDD"/>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B65943"/>
    <w:rsid w:val="68C04D52"/>
    <w:rsid w:val="68D33DE9"/>
    <w:rsid w:val="69157114"/>
    <w:rsid w:val="691A443E"/>
    <w:rsid w:val="69E203A0"/>
    <w:rsid w:val="6A116483"/>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63274"/>
    <w:rsid w:val="798D552B"/>
    <w:rsid w:val="7A090695"/>
    <w:rsid w:val="7A1D5951"/>
    <w:rsid w:val="7AE175F4"/>
    <w:rsid w:val="7B417685"/>
    <w:rsid w:val="7B5220F0"/>
    <w:rsid w:val="7B5323CC"/>
    <w:rsid w:val="7B851309"/>
    <w:rsid w:val="7BA169C0"/>
    <w:rsid w:val="7BC55243"/>
    <w:rsid w:val="7C2F4A9A"/>
    <w:rsid w:val="7CAD595B"/>
    <w:rsid w:val="7CF65D07"/>
    <w:rsid w:val="7D2975D1"/>
    <w:rsid w:val="7D2F3083"/>
    <w:rsid w:val="7D906046"/>
    <w:rsid w:val="7DCC0CD6"/>
    <w:rsid w:val="7EF3B762"/>
    <w:rsid w:val="BDE9DA1D"/>
    <w:rsid w:val="F8FAC80A"/>
    <w:rsid w:val="FB9BC7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pc6/C:\home\pc6\C:\home\pc6\C:\home\pc6\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4569</Words>
  <Characters>5527</Characters>
  <Lines>71</Lines>
  <Paragraphs>20</Paragraphs>
  <TotalTime>1</TotalTime>
  <ScaleCrop>false</ScaleCrop>
  <LinksUpToDate>false</LinksUpToDate>
  <CharactersWithSpaces>6039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2022-02-22T01:24:00Z</dcterms:created>
  <dc:creator>Administrator</dc:creator>
  <cp:lastModifiedBy>pc6</cp:lastModifiedBy>
  <cp:lastPrinted>2025-02-12T19:07:00Z</cp:lastPrinted>
  <dcterms:modified xsi:type="dcterms:W3CDTF">2025-02-20T10:13:47Z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DCE2488A59ED425F8330D18FE76F5BBB_13</vt:lpwstr>
  </property>
  <property fmtid="{D5CDD505-2E9C-101B-9397-08002B2CF9AE}" pid="4" name="KSOTemplateDocerSaveRecord">
    <vt:lpwstr>eyJoZGlkIjoiZGFhMTkyODlkY2YyM2QwNmRlNDczNjUyNThkZGYxZjciLCJ1c2VySWQiOiI0MTk1MjIyMTIifQ==</vt:lpwstr>
  </property>
</Properties>
</file>