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龙井市统计局</w:t>
      </w:r>
      <w:r>
        <w:rPr>
          <w:rFonts w:eastAsia="方正小标宋简体"/>
          <w:sz w:val="44"/>
          <w:szCs w:val="44"/>
          <w:u w:val="none"/>
        </w:rPr>
        <w:t>2</w:t>
      </w:r>
      <w:r>
        <w:rPr>
          <w:rFonts w:eastAsia="方正小标宋简体"/>
          <w:sz w:val="44"/>
          <w:szCs w:val="44"/>
        </w:rPr>
        <w:t>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pStyle w:val="23"/>
        <w:ind w:firstLine="640" w:firstLineChars="200"/>
        <w:rPr>
          <w:rFonts w:hint="eastAsia" w:eastAsia="仿宋_GB2312"/>
          <w:lang w:val="en-US" w:eastAsia="zh-CN"/>
        </w:rPr>
      </w:pPr>
      <w:r>
        <w:rPr>
          <w:rFonts w:hint="eastAsia" w:eastAsia="仿宋_GB2312"/>
        </w:rPr>
        <w:t>1.</w:t>
      </w:r>
      <w:r>
        <w:rPr>
          <w:rFonts w:hint="eastAsia" w:eastAsia="仿宋_GB2312"/>
          <w:lang w:val="en-US" w:eastAsia="zh-CN"/>
        </w:rPr>
        <w:t>贯彻执行国家统计方针、政策以及法律、法规，制定全市统计规划及统计调查计划；监督检查统计法律、法规的实施。组织领导全市统计工作，承担确保统计数据真实、准确、及时的责任。</w:t>
      </w:r>
    </w:p>
    <w:p>
      <w:pPr>
        <w:pStyle w:val="23"/>
        <w:ind w:firstLine="640" w:firstLineChars="200"/>
        <w:rPr>
          <w:rFonts w:hint="eastAsia" w:eastAsia="仿宋_GB2312"/>
          <w:lang w:val="en-US" w:eastAsia="zh-CN"/>
        </w:rPr>
      </w:pPr>
      <w:r>
        <w:rPr>
          <w:rFonts w:hint="eastAsia" w:eastAsia="仿宋_GB2312"/>
        </w:rPr>
        <w:t>2.</w:t>
      </w:r>
      <w:r>
        <w:rPr>
          <w:rFonts w:hint="eastAsia" w:eastAsia="仿宋_GB2312"/>
          <w:lang w:val="en-US" w:eastAsia="zh-CN"/>
        </w:rPr>
        <w:t>根据国家统一的基本统计制度，建立健全全市国民经济核算体系和统计指标体系，贯彻执行全省统一的基本统计报表制度和统计标准；汇编提供全市国民经济核算资料。</w:t>
      </w:r>
    </w:p>
    <w:p>
      <w:pPr>
        <w:pStyle w:val="23"/>
        <w:ind w:firstLine="640" w:firstLineChars="200"/>
        <w:rPr>
          <w:rFonts w:hint="eastAsia" w:eastAsia="仿宋_GB2312"/>
        </w:rPr>
      </w:pPr>
      <w:r>
        <w:rPr>
          <w:rFonts w:hint="eastAsia" w:eastAsia="仿宋_GB2312"/>
        </w:rPr>
        <w:t>3.</w:t>
      </w:r>
      <w:r>
        <w:rPr>
          <w:rFonts w:hint="eastAsia" w:eastAsia="仿宋_GB2312"/>
          <w:lang w:val="en-US" w:eastAsia="zh-CN"/>
        </w:rPr>
        <w:t>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pStyle w:val="23"/>
        <w:ind w:firstLine="640" w:firstLineChars="200"/>
        <w:rPr>
          <w:rFonts w:hint="eastAsia" w:eastAsia="仿宋_GB2312"/>
          <w:lang w:val="en-US" w:eastAsia="zh-CN"/>
        </w:rPr>
      </w:pPr>
      <w:r>
        <w:rPr>
          <w:rFonts w:hint="eastAsia" w:eastAsia="仿宋_GB2312"/>
        </w:rPr>
        <w:t>4.</w:t>
      </w:r>
      <w:r>
        <w:rPr>
          <w:rFonts w:hint="eastAsia" w:eastAsia="仿宋_GB2312"/>
          <w:lang w:val="en-US" w:eastAsia="zh-CN"/>
        </w:rPr>
        <w:t>统一核定、管理、公布全市基本统计资料，定期向社会公众发布全市国民经济和社会发展情况的统计信息。</w:t>
      </w:r>
    </w:p>
    <w:p>
      <w:pPr>
        <w:pStyle w:val="23"/>
        <w:ind w:firstLine="640" w:firstLineChars="200"/>
        <w:rPr>
          <w:rFonts w:hint="eastAsia" w:eastAsia="仿宋_GB2312"/>
        </w:rPr>
      </w:pPr>
      <w:r>
        <w:rPr>
          <w:rFonts w:hint="eastAsia" w:eastAsia="仿宋_GB2312"/>
        </w:rPr>
        <w:t>5.</w:t>
      </w:r>
      <w:r>
        <w:rPr>
          <w:rFonts w:hint="eastAsia" w:eastAsia="仿宋_GB2312"/>
          <w:lang w:val="en-US" w:eastAsia="zh-CN"/>
        </w:rPr>
        <w:t>建立、完善和管理全市统计信息自动化系统和全市统计数据库体系。</w:t>
      </w:r>
    </w:p>
    <w:p>
      <w:pPr>
        <w:pStyle w:val="23"/>
        <w:ind w:firstLine="640" w:firstLineChars="200"/>
        <w:rPr>
          <w:rFonts w:hint="eastAsia" w:eastAsia="仿宋_GB2312"/>
          <w:lang w:val="en-US" w:eastAsia="zh-CN"/>
        </w:rPr>
      </w:pPr>
      <w:r>
        <w:rPr>
          <w:rFonts w:hint="eastAsia" w:eastAsia="仿宋_GB2312"/>
        </w:rPr>
        <w:t>6.</w:t>
      </w:r>
      <w:r>
        <w:rPr>
          <w:rFonts w:hint="eastAsia" w:eastAsia="仿宋_GB2312"/>
          <w:lang w:val="en-US" w:eastAsia="zh-CN"/>
        </w:rPr>
        <w:t>负责全市统计系统的干部人事、劳动工资、机构编制和财务经费、审计监督及资产设施管理。</w:t>
      </w:r>
    </w:p>
    <w:p>
      <w:pPr>
        <w:pStyle w:val="23"/>
        <w:ind w:firstLine="640" w:firstLineChars="200"/>
        <w:rPr>
          <w:rFonts w:hint="eastAsia" w:eastAsia="仿宋_GB2312"/>
          <w:lang w:val="en-US" w:eastAsia="zh-CN"/>
        </w:rPr>
      </w:pPr>
      <w:r>
        <w:rPr>
          <w:rFonts w:hint="eastAsia" w:eastAsia="仿宋_GB2312"/>
        </w:rPr>
        <w:t>7.</w:t>
      </w:r>
      <w:r>
        <w:rPr>
          <w:rFonts w:hint="eastAsia" w:eastAsia="仿宋_GB2312"/>
          <w:lang w:val="en-US" w:eastAsia="zh-CN"/>
        </w:rPr>
        <w:t>领导局属事业单位。</w:t>
      </w:r>
    </w:p>
    <w:p>
      <w:pPr>
        <w:pStyle w:val="23"/>
        <w:ind w:firstLine="640" w:firstLineChars="200"/>
        <w:rPr>
          <w:rFonts w:hint="eastAsia" w:eastAsia="仿宋_GB2312"/>
          <w:lang w:val="en-US" w:eastAsia="zh-CN"/>
        </w:rPr>
      </w:pPr>
      <w:r>
        <w:rPr>
          <w:rFonts w:hint="eastAsia" w:eastAsia="仿宋_GB2312"/>
          <w:lang w:val="en-US" w:eastAsia="zh-CN"/>
        </w:rPr>
        <w:t>8.承办延边朝鲜族自治州统计局和龙井市政府交办的其他事项。</w:t>
      </w:r>
    </w:p>
    <w:p>
      <w:pPr>
        <w:ind w:firstLine="640" w:firstLineChars="200"/>
      </w:pPr>
      <w:r>
        <w:rPr>
          <w:rFonts w:eastAsia="楷体_GB2312"/>
        </w:rPr>
        <w:t>二、机构设置</w:t>
      </w:r>
    </w:p>
    <w:p>
      <w:pPr>
        <w:pStyle w:val="23"/>
        <w:ind w:firstLine="640" w:firstLineChars="200"/>
        <w:rPr>
          <w:rFonts w:hint="eastAsia" w:eastAsia="仿宋_GB2312"/>
          <w:lang w:val="en-US" w:eastAsia="zh-CN"/>
        </w:rPr>
      </w:pPr>
      <w:r>
        <w:rPr>
          <w:rFonts w:hint="eastAsia" w:eastAsia="仿宋_GB2312"/>
          <w:lang w:val="en-US" w:eastAsia="zh-CN"/>
        </w:rPr>
        <w:t>根据上述职责，龙井市统计局设2个内设机构：综合科、社会经济统计科。</w:t>
      </w:r>
    </w:p>
    <w:p>
      <w:pPr>
        <w:pStyle w:val="23"/>
        <w:ind w:firstLine="640" w:firstLineChars="200"/>
        <w:rPr>
          <w:rFonts w:hint="default" w:eastAsia="仿宋_GB2312"/>
          <w:lang w:val="en-US" w:eastAsia="zh-CN"/>
        </w:rPr>
      </w:pPr>
      <w:r>
        <w:rPr>
          <w:rFonts w:hint="eastAsia" w:eastAsia="仿宋_GB2312"/>
          <w:lang w:val="en-US" w:eastAsia="zh-CN"/>
        </w:rPr>
        <w:t>本单位无下设预算单位。</w:t>
      </w:r>
    </w:p>
    <w:p>
      <w:pPr>
        <w:pStyle w:val="23"/>
        <w:ind w:firstLine="640" w:firstLineChars="200"/>
        <w:rPr>
          <w:rFonts w:hint="eastAsia" w:eastAsia="仿宋_GB2312"/>
          <w:lang w:val="en-US" w:eastAsia="zh-CN"/>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int="eastAsia" w:hAnsi="楷体" w:eastAsia="楷体"/>
        </w:rPr>
      </w:pPr>
    </w:p>
    <w:p>
      <w:pPr>
        <w:pStyle w:val="23"/>
        <w:ind w:firstLine="640" w:firstLineChars="200"/>
        <w:rPr>
          <w:rFonts w:eastAsia="黑体"/>
        </w:rPr>
      </w:pPr>
      <w:r>
        <w:rPr>
          <w:rFonts w:hint="eastAsia" w:hAnsi="楷体" w:eastAsia="楷体"/>
        </w:rPr>
        <w:br w:type="page"/>
      </w:r>
    </w:p>
    <w:p>
      <w:pPr>
        <w:jc w:val="center"/>
        <w:rPr>
          <w:rFonts w:eastAsia="黑体"/>
        </w:rPr>
      </w:pPr>
    </w:p>
    <w:p>
      <w:pPr>
        <w:jc w:val="center"/>
        <w:rPr>
          <w:rFonts w:eastAsia="黑体"/>
        </w:rPr>
      </w:pPr>
      <w:r>
        <w:rPr>
          <w:rFonts w:eastAsia="黑体"/>
        </w:rPr>
        <w:t>第二部分 预算表格</w:t>
      </w:r>
    </w:p>
    <w:tbl>
      <w:tblPr>
        <w:tblStyle w:val="11"/>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Layout w:type="fixed"/>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Layout w:type="fixed"/>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Layout w:type="fixed"/>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159.93</w:t>
            </w:r>
          </w:p>
        </w:tc>
        <w:tc>
          <w:tcPr>
            <w:tcW w:w="984" w:type="dxa"/>
            <w:gridSpan w:val="2"/>
            <w:tcBorders>
              <w:top w:val="nil"/>
              <w:left w:val="nil"/>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159.93</w:t>
            </w:r>
          </w:p>
        </w:tc>
        <w:tc>
          <w:tcPr>
            <w:tcW w:w="1134" w:type="dxa"/>
            <w:tcBorders>
              <w:top w:val="nil"/>
              <w:left w:val="single" w:color="auto" w:sz="4" w:space="0"/>
              <w:bottom w:val="single" w:color="auto" w:sz="4" w:space="0"/>
              <w:right w:val="nil"/>
            </w:tcBorders>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131.19</w:t>
            </w:r>
          </w:p>
        </w:tc>
        <w:tc>
          <w:tcPr>
            <w:tcW w:w="1182" w:type="dxa"/>
            <w:gridSpan w:val="2"/>
            <w:tcBorders>
              <w:top w:val="nil"/>
              <w:left w:val="nil"/>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131.19</w:t>
            </w:r>
          </w:p>
        </w:tc>
        <w:tc>
          <w:tcPr>
            <w:tcW w:w="1158" w:type="dxa"/>
            <w:tcBorders>
              <w:top w:val="nil"/>
              <w:left w:val="nil"/>
              <w:bottom w:val="single" w:color="auto" w:sz="4" w:space="0"/>
              <w:right w:val="single" w:color="auto" w:sz="4" w:space="0"/>
            </w:tcBorders>
            <w:vAlign w:val="center"/>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159.93</w:t>
            </w:r>
          </w:p>
        </w:tc>
        <w:tc>
          <w:tcPr>
            <w:tcW w:w="984" w:type="dxa"/>
            <w:gridSpan w:val="2"/>
            <w:tcBorders>
              <w:top w:val="nil"/>
              <w:left w:val="nil"/>
              <w:bottom w:val="single" w:color="auto" w:sz="4" w:space="0"/>
              <w:right w:val="single" w:color="auto" w:sz="4" w:space="0"/>
            </w:tcBorders>
            <w:vAlign w:val="center"/>
          </w:tcPr>
          <w:p>
            <w:pPr>
              <w:jc w:val="right"/>
              <w:rPr>
                <w:rFonts w:hint="eastAsia" w:eastAsia="宋体"/>
                <w:kern w:val="0"/>
                <w:sz w:val="20"/>
                <w:lang w:val="en-US" w:eastAsia="zh-CN"/>
              </w:rPr>
            </w:pPr>
            <w:r>
              <w:rPr>
                <w:rFonts w:hint="eastAsia" w:eastAsia="宋体"/>
                <w:kern w:val="0"/>
                <w:sz w:val="20"/>
                <w:lang w:val="en-US" w:eastAsia="zh-CN"/>
              </w:rPr>
              <w:t>159.93</w:t>
            </w:r>
          </w:p>
        </w:tc>
        <w:tc>
          <w:tcPr>
            <w:tcW w:w="1134" w:type="dxa"/>
            <w:tcBorders>
              <w:top w:val="nil"/>
              <w:left w:val="single" w:color="auto" w:sz="4" w:space="0"/>
              <w:bottom w:val="single" w:color="auto" w:sz="4" w:space="0"/>
              <w:right w:val="nil"/>
            </w:tcBorders>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vAlign w:val="center"/>
          </w:tcPr>
          <w:p>
            <w:pPr>
              <w:autoSpaceDN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17.60</w:t>
            </w:r>
          </w:p>
        </w:tc>
        <w:tc>
          <w:tcPr>
            <w:tcW w:w="1182" w:type="dxa"/>
            <w:gridSpan w:val="2"/>
            <w:tcBorders>
              <w:top w:val="nil"/>
              <w:left w:val="nil"/>
              <w:bottom w:val="single" w:color="auto" w:sz="4" w:space="0"/>
              <w:right w:val="single" w:color="auto" w:sz="4" w:space="0"/>
            </w:tcBorders>
            <w:vAlign w:val="center"/>
          </w:tcPr>
          <w:p>
            <w:pPr>
              <w:jc w:val="right"/>
              <w:rPr>
                <w:rFonts w:hint="eastAsia" w:eastAsia="宋体"/>
                <w:kern w:val="0"/>
                <w:sz w:val="20"/>
                <w:lang w:val="en-US" w:eastAsia="zh-CN"/>
              </w:rPr>
            </w:pPr>
            <w:r>
              <w:rPr>
                <w:rFonts w:hint="eastAsia" w:eastAsia="宋体"/>
                <w:kern w:val="0"/>
                <w:sz w:val="20"/>
                <w:lang w:val="en-US" w:eastAsia="zh-CN"/>
              </w:rPr>
              <w:t>17.60</w:t>
            </w: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eastAsia="宋体"/>
                <w:color w:val="000000"/>
                <w:sz w:val="20"/>
                <w:lang w:val="en-US" w:eastAsia="zh-CN"/>
              </w:rPr>
            </w:pPr>
            <w:r>
              <w:rPr>
                <w:rFonts w:eastAsia="宋体"/>
                <w:color w:val="000000"/>
                <w:sz w:val="20"/>
              </w:rPr>
              <w:t>三、</w:t>
            </w:r>
            <w:r>
              <w:rPr>
                <w:rFonts w:hint="eastAsia" w:eastAsia="宋体"/>
                <w:color w:val="000000"/>
                <w:sz w:val="20"/>
              </w:rPr>
              <w:t>卫生</w:t>
            </w:r>
            <w:r>
              <w:rPr>
                <w:rFonts w:hint="eastAsia" w:eastAsia="宋体"/>
                <w:color w:val="000000"/>
                <w:sz w:val="20"/>
                <w:lang w:val="en-US" w:eastAsia="zh-CN"/>
              </w:rPr>
              <w:t>健康</w:t>
            </w:r>
          </w:p>
          <w:p>
            <w:pPr>
              <w:autoSpaceDN w:val="0"/>
              <w:ind w:firstLine="200" w:firstLineChars="100"/>
              <w:jc w:val="left"/>
              <w:textAlignment w:val="center"/>
              <w:rPr>
                <w:rFonts w:eastAsia="宋体"/>
                <w:color w:val="000000"/>
                <w:kern w:val="0"/>
                <w:sz w:val="20"/>
              </w:rPr>
            </w:pP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pPr>
              <w:autoSpaceDN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3.19</w:t>
            </w:r>
          </w:p>
        </w:tc>
        <w:tc>
          <w:tcPr>
            <w:tcW w:w="1182" w:type="dxa"/>
            <w:gridSpan w:val="2"/>
            <w:tcBorders>
              <w:top w:val="nil"/>
              <w:left w:val="nil"/>
              <w:bottom w:val="single" w:color="auto" w:sz="4" w:space="0"/>
              <w:right w:val="single" w:color="auto" w:sz="4" w:space="0"/>
            </w:tcBorders>
            <w:vAlign w:val="center"/>
          </w:tcPr>
          <w:p>
            <w:pPr>
              <w:jc w:val="right"/>
              <w:rPr>
                <w:rFonts w:hint="eastAsia" w:eastAsia="宋体"/>
                <w:kern w:val="0"/>
                <w:sz w:val="20"/>
                <w:lang w:val="en-US" w:eastAsia="zh-CN"/>
              </w:rPr>
            </w:pPr>
            <w:r>
              <w:rPr>
                <w:rFonts w:hint="eastAsia" w:eastAsia="宋体"/>
                <w:kern w:val="0"/>
                <w:sz w:val="20"/>
                <w:lang w:val="en-US" w:eastAsia="zh-CN"/>
              </w:rPr>
              <w:t>3.19</w:t>
            </w: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7.95</w:t>
            </w:r>
          </w:p>
        </w:tc>
        <w:tc>
          <w:tcPr>
            <w:tcW w:w="1182" w:type="dxa"/>
            <w:gridSpan w:val="2"/>
            <w:tcBorders>
              <w:top w:val="nil"/>
              <w:left w:val="nil"/>
              <w:bottom w:val="single" w:color="auto" w:sz="4" w:space="0"/>
              <w:right w:val="single" w:color="auto" w:sz="4" w:space="0"/>
            </w:tcBorders>
            <w:vAlign w:val="center"/>
          </w:tcPr>
          <w:p>
            <w:pPr>
              <w:jc w:val="right"/>
              <w:rPr>
                <w:rFonts w:hint="eastAsia" w:eastAsia="宋体"/>
                <w:kern w:val="0"/>
                <w:sz w:val="20"/>
                <w:lang w:val="en-US" w:eastAsia="zh-CN"/>
              </w:rPr>
            </w:pPr>
            <w:r>
              <w:rPr>
                <w:rFonts w:hint="eastAsia" w:eastAsia="宋体"/>
                <w:kern w:val="0"/>
                <w:sz w:val="20"/>
                <w:lang w:val="en-US" w:eastAsia="zh-CN"/>
              </w:rPr>
              <w:t>7.95</w:t>
            </w: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vAlign w:val="center"/>
          </w:tcPr>
          <w:p>
            <w:pPr>
              <w:jc w:val="right"/>
              <w:rPr>
                <w:rFonts w:hint="eastAsia" w:eastAsia="宋体"/>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159.93</w:t>
            </w:r>
          </w:p>
        </w:tc>
        <w:tc>
          <w:tcPr>
            <w:tcW w:w="984"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159.93</w:t>
            </w:r>
          </w:p>
        </w:tc>
        <w:tc>
          <w:tcPr>
            <w:tcW w:w="1134" w:type="dxa"/>
            <w:tcBorders>
              <w:top w:val="nil"/>
              <w:left w:val="single" w:color="auto" w:sz="4" w:space="0"/>
              <w:bottom w:val="single" w:color="auto" w:sz="4" w:space="0"/>
              <w:right w:val="nil"/>
            </w:tcBorders>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widowControl/>
              <w:jc w:val="right"/>
              <w:rPr>
                <w:rFonts w:hint="eastAsia" w:eastAsia="宋体"/>
                <w:b w:val="0"/>
                <w:bCs w:val="0"/>
                <w:kern w:val="0"/>
                <w:sz w:val="20"/>
                <w:lang w:val="en-US" w:eastAsia="zh-CN"/>
              </w:rPr>
            </w:pPr>
            <w:r>
              <w:rPr>
                <w:rFonts w:hint="eastAsia" w:eastAsia="宋体"/>
                <w:b w:val="0"/>
                <w:bCs w:val="0"/>
                <w:kern w:val="0"/>
                <w:sz w:val="20"/>
                <w:lang w:val="en-US" w:eastAsia="zh-CN"/>
              </w:rPr>
              <w:t>159.93</w:t>
            </w:r>
          </w:p>
        </w:tc>
        <w:tc>
          <w:tcPr>
            <w:tcW w:w="1182" w:type="dxa"/>
            <w:gridSpan w:val="2"/>
            <w:tcBorders>
              <w:top w:val="nil"/>
              <w:left w:val="nil"/>
              <w:bottom w:val="single" w:color="auto" w:sz="4" w:space="0"/>
              <w:right w:val="single" w:color="auto" w:sz="4" w:space="0"/>
            </w:tcBorders>
            <w:vAlign w:val="center"/>
          </w:tcPr>
          <w:p>
            <w:pPr>
              <w:widowControl/>
              <w:jc w:val="right"/>
              <w:rPr>
                <w:rFonts w:eastAsia="宋体"/>
                <w:b w:val="0"/>
                <w:bCs w:val="0"/>
                <w:kern w:val="0"/>
                <w:sz w:val="20"/>
              </w:rPr>
            </w:pPr>
            <w:r>
              <w:rPr>
                <w:rFonts w:hint="eastAsia" w:eastAsia="宋体"/>
                <w:b w:val="0"/>
                <w:bCs w:val="0"/>
                <w:kern w:val="0"/>
                <w:sz w:val="20"/>
                <w:lang w:val="en-US" w:eastAsia="zh-CN"/>
              </w:rPr>
              <w:t>159.93</w:t>
            </w:r>
          </w:p>
        </w:tc>
        <w:tc>
          <w:tcPr>
            <w:tcW w:w="1158" w:type="dxa"/>
            <w:tcBorders>
              <w:top w:val="nil"/>
              <w:left w:val="nil"/>
              <w:bottom w:val="single" w:color="auto" w:sz="4" w:space="0"/>
              <w:right w:val="single" w:color="auto" w:sz="4" w:space="0"/>
            </w:tcBorders>
            <w:vAlign w:val="center"/>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b w:val="0"/>
                <w:bCs w:val="0"/>
                <w:kern w:val="0"/>
                <w:sz w:val="20"/>
              </w:rPr>
            </w:pPr>
          </w:p>
        </w:tc>
        <w:tc>
          <w:tcPr>
            <w:tcW w:w="1182" w:type="dxa"/>
            <w:gridSpan w:val="2"/>
            <w:tcBorders>
              <w:top w:val="nil"/>
              <w:left w:val="nil"/>
              <w:bottom w:val="single" w:color="auto" w:sz="4" w:space="0"/>
              <w:right w:val="single" w:color="auto" w:sz="4" w:space="0"/>
            </w:tcBorders>
            <w:vAlign w:val="center"/>
          </w:tcPr>
          <w:p>
            <w:pPr>
              <w:widowControl/>
              <w:jc w:val="right"/>
              <w:rPr>
                <w:rFonts w:eastAsia="宋体"/>
                <w:b w:val="0"/>
                <w:bCs w:val="0"/>
                <w:kern w:val="0"/>
                <w:sz w:val="20"/>
              </w:rPr>
            </w:pPr>
          </w:p>
        </w:tc>
        <w:tc>
          <w:tcPr>
            <w:tcW w:w="1158" w:type="dxa"/>
            <w:tcBorders>
              <w:top w:val="nil"/>
              <w:left w:val="nil"/>
              <w:bottom w:val="single" w:color="auto" w:sz="4" w:space="0"/>
              <w:right w:val="single" w:color="auto" w:sz="4" w:space="0"/>
            </w:tcBorders>
            <w:vAlign w:val="center"/>
          </w:tcPr>
          <w:p>
            <w:pPr>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right"/>
              <w:rPr>
                <w:rFonts w:eastAsia="宋体"/>
                <w:b w:val="0"/>
                <w:bCs w:val="0"/>
                <w:kern w:val="0"/>
                <w:sz w:val="20"/>
              </w:rPr>
            </w:pPr>
          </w:p>
        </w:tc>
        <w:tc>
          <w:tcPr>
            <w:tcW w:w="1182" w:type="dxa"/>
            <w:gridSpan w:val="2"/>
            <w:tcBorders>
              <w:top w:val="nil"/>
              <w:left w:val="nil"/>
              <w:bottom w:val="single" w:color="auto" w:sz="4" w:space="0"/>
              <w:right w:val="single" w:color="auto" w:sz="4" w:space="0"/>
            </w:tcBorders>
            <w:vAlign w:val="center"/>
          </w:tcPr>
          <w:p>
            <w:pPr>
              <w:widowControl/>
              <w:jc w:val="right"/>
              <w:rPr>
                <w:rFonts w:eastAsia="宋体"/>
                <w:b w:val="0"/>
                <w:bCs w:val="0"/>
                <w:kern w:val="0"/>
                <w:sz w:val="20"/>
              </w:rPr>
            </w:pPr>
          </w:p>
        </w:tc>
        <w:tc>
          <w:tcPr>
            <w:tcW w:w="1158" w:type="dxa"/>
            <w:tcBorders>
              <w:top w:val="nil"/>
              <w:left w:val="nil"/>
              <w:bottom w:val="single" w:color="auto" w:sz="4" w:space="0"/>
              <w:right w:val="single" w:color="auto" w:sz="4" w:space="0"/>
            </w:tcBorders>
            <w:vAlign w:val="center"/>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159.93</w:t>
            </w:r>
          </w:p>
        </w:tc>
        <w:tc>
          <w:tcPr>
            <w:tcW w:w="984" w:type="dxa"/>
            <w:gridSpan w:val="2"/>
            <w:tcBorders>
              <w:top w:val="nil"/>
              <w:left w:val="nil"/>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159.93</w:t>
            </w:r>
          </w:p>
        </w:tc>
        <w:tc>
          <w:tcPr>
            <w:tcW w:w="1134" w:type="dxa"/>
            <w:tcBorders>
              <w:top w:val="nil"/>
              <w:left w:val="single" w:color="auto" w:sz="4" w:space="0"/>
              <w:bottom w:val="single" w:color="auto" w:sz="4" w:space="0"/>
              <w:right w:val="nil"/>
            </w:tcBorders>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right"/>
              <w:rPr>
                <w:rFonts w:hint="eastAsia" w:eastAsia="宋体"/>
                <w:b w:val="0"/>
                <w:bCs w:val="0"/>
                <w:kern w:val="0"/>
                <w:sz w:val="20"/>
                <w:lang w:val="en-US" w:eastAsia="zh-CN"/>
              </w:rPr>
            </w:pPr>
            <w:r>
              <w:rPr>
                <w:rFonts w:hint="eastAsia" w:eastAsia="宋体"/>
                <w:b w:val="0"/>
                <w:bCs w:val="0"/>
                <w:kern w:val="0"/>
                <w:sz w:val="20"/>
                <w:lang w:val="en-US" w:eastAsia="zh-CN"/>
              </w:rPr>
              <w:t>159.93</w:t>
            </w:r>
          </w:p>
        </w:tc>
        <w:tc>
          <w:tcPr>
            <w:tcW w:w="1182" w:type="dxa"/>
            <w:gridSpan w:val="2"/>
            <w:tcBorders>
              <w:top w:val="nil"/>
              <w:left w:val="nil"/>
              <w:bottom w:val="single" w:color="auto" w:sz="4" w:space="0"/>
              <w:right w:val="single" w:color="auto" w:sz="4" w:space="0"/>
            </w:tcBorders>
            <w:vAlign w:val="center"/>
          </w:tcPr>
          <w:p>
            <w:pPr>
              <w:widowControl/>
              <w:jc w:val="right"/>
              <w:rPr>
                <w:rFonts w:eastAsia="宋体"/>
                <w:b w:val="0"/>
                <w:bCs w:val="0"/>
                <w:kern w:val="0"/>
                <w:sz w:val="20"/>
              </w:rPr>
            </w:pPr>
            <w:r>
              <w:rPr>
                <w:rFonts w:hint="eastAsia" w:eastAsia="宋体"/>
                <w:b w:val="0"/>
                <w:bCs w:val="0"/>
                <w:kern w:val="0"/>
                <w:sz w:val="20"/>
                <w:lang w:val="en-US" w:eastAsia="zh-CN"/>
              </w:rPr>
              <w:t>159.93</w:t>
            </w:r>
          </w:p>
        </w:tc>
        <w:tc>
          <w:tcPr>
            <w:tcW w:w="1158" w:type="dxa"/>
            <w:tcBorders>
              <w:top w:val="nil"/>
              <w:left w:val="nil"/>
              <w:bottom w:val="single" w:color="auto" w:sz="4" w:space="0"/>
              <w:right w:val="single" w:color="auto" w:sz="4" w:space="0"/>
            </w:tcBorders>
            <w:vAlign w:val="center"/>
          </w:tcPr>
          <w:p>
            <w:pPr>
              <w:widowControl/>
              <w:jc w:val="right"/>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hAnsi="楷体" w:eastAsia="楷体"/>
        </w:rPr>
      </w:pPr>
      <w:r>
        <w:rPr>
          <w:rFonts w:hAnsi="楷体" w:eastAsia="楷体"/>
        </w:rPr>
        <w:br w:type="page"/>
      </w:r>
    </w:p>
    <w:p>
      <w:pPr>
        <w:jc w:val="center"/>
        <w:rPr>
          <w:rFonts w:hAnsi="楷体" w:eastAsia="楷体"/>
        </w:rPr>
      </w:pPr>
    </w:p>
    <w:p>
      <w:pPr>
        <w:jc w:val="center"/>
        <w:rPr>
          <w:rFonts w:hAnsi="楷体" w:eastAsia="楷体"/>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1"/>
        <w:tblW w:w="10859" w:type="dxa"/>
        <w:jc w:val="center"/>
        <w:tblInd w:w="0" w:type="dxa"/>
        <w:tblLayout w:type="fixed"/>
        <w:tblCellMar>
          <w:top w:w="0" w:type="dxa"/>
          <w:left w:w="108" w:type="dxa"/>
          <w:bottom w:w="0" w:type="dxa"/>
          <w:right w:w="108" w:type="dxa"/>
        </w:tblCellMar>
      </w:tblPr>
      <w:tblGrid>
        <w:gridCol w:w="1446"/>
        <w:gridCol w:w="792"/>
        <w:gridCol w:w="781"/>
        <w:gridCol w:w="779"/>
        <w:gridCol w:w="564"/>
        <w:gridCol w:w="612"/>
        <w:gridCol w:w="660"/>
        <w:gridCol w:w="564"/>
        <w:gridCol w:w="558"/>
        <w:gridCol w:w="456"/>
        <w:gridCol w:w="528"/>
        <w:gridCol w:w="492"/>
        <w:gridCol w:w="456"/>
        <w:gridCol w:w="480"/>
        <w:gridCol w:w="457"/>
        <w:gridCol w:w="395"/>
        <w:gridCol w:w="456"/>
        <w:gridCol w:w="383"/>
      </w:tblGrid>
      <w:tr>
        <w:tblPrEx>
          <w:tblLayout w:type="fixed"/>
          <w:tblCellMar>
            <w:top w:w="0" w:type="dxa"/>
            <w:left w:w="108" w:type="dxa"/>
            <w:bottom w:w="0" w:type="dxa"/>
            <w:right w:w="108" w:type="dxa"/>
          </w:tblCellMar>
        </w:tblPrEx>
        <w:trPr>
          <w:trHeight w:val="335" w:hRule="atLeast"/>
          <w:jc w:val="center"/>
        </w:trPr>
        <w:tc>
          <w:tcPr>
            <w:tcW w:w="1446" w:type="dxa"/>
            <w:tcBorders>
              <w:bottom w:val="single" w:color="000000" w:sz="4" w:space="0"/>
            </w:tcBorders>
            <w:vAlign w:val="top"/>
          </w:tcPr>
          <w:p>
            <w:pPr>
              <w:autoSpaceDN w:val="0"/>
              <w:jc w:val="left"/>
              <w:textAlignment w:val="center"/>
              <w:rPr>
                <w:rFonts w:eastAsia="华文细黑"/>
                <w:color w:val="000000"/>
                <w:sz w:val="20"/>
              </w:rPr>
            </w:pPr>
          </w:p>
        </w:tc>
        <w:tc>
          <w:tcPr>
            <w:tcW w:w="5310" w:type="dxa"/>
            <w:gridSpan w:val="8"/>
            <w:tcBorders>
              <w:bottom w:val="single" w:color="000000" w:sz="4" w:space="0"/>
            </w:tcBorders>
            <w:vAlign w:val="center"/>
          </w:tcPr>
          <w:p>
            <w:pPr>
              <w:autoSpaceDN w:val="0"/>
              <w:jc w:val="left"/>
              <w:textAlignment w:val="center"/>
              <w:rPr>
                <w:rFonts w:eastAsia="华文细黑"/>
                <w:color w:val="000000"/>
                <w:sz w:val="20"/>
              </w:rPr>
            </w:pPr>
          </w:p>
        </w:tc>
        <w:tc>
          <w:tcPr>
            <w:tcW w:w="1476" w:type="dxa"/>
            <w:gridSpan w:val="3"/>
            <w:vAlign w:val="center"/>
          </w:tcPr>
          <w:p>
            <w:pPr>
              <w:autoSpaceDN w:val="0"/>
              <w:jc w:val="left"/>
              <w:textAlignment w:val="center"/>
              <w:rPr>
                <w:rFonts w:eastAsia="华文细黑"/>
                <w:color w:val="000000"/>
                <w:sz w:val="20"/>
              </w:rPr>
            </w:pPr>
          </w:p>
        </w:tc>
        <w:tc>
          <w:tcPr>
            <w:tcW w:w="456" w:type="dxa"/>
            <w:vAlign w:val="center"/>
          </w:tcPr>
          <w:p>
            <w:pPr>
              <w:autoSpaceDN w:val="0"/>
              <w:jc w:val="left"/>
              <w:textAlignment w:val="center"/>
              <w:rPr>
                <w:rFonts w:eastAsia="华文细黑"/>
                <w:color w:val="000000"/>
                <w:sz w:val="20"/>
              </w:rPr>
            </w:pPr>
          </w:p>
        </w:tc>
        <w:tc>
          <w:tcPr>
            <w:tcW w:w="480" w:type="dxa"/>
            <w:vAlign w:val="center"/>
          </w:tcPr>
          <w:p>
            <w:pPr>
              <w:autoSpaceDN w:val="0"/>
              <w:jc w:val="left"/>
              <w:textAlignment w:val="center"/>
              <w:rPr>
                <w:rFonts w:eastAsia="华文细黑"/>
                <w:color w:val="000000"/>
                <w:sz w:val="20"/>
              </w:rPr>
            </w:pPr>
          </w:p>
        </w:tc>
        <w:tc>
          <w:tcPr>
            <w:tcW w:w="457" w:type="dxa"/>
            <w:vAlign w:val="bottom"/>
          </w:tcPr>
          <w:p>
            <w:pPr>
              <w:autoSpaceDN w:val="0"/>
              <w:jc w:val="right"/>
              <w:textAlignment w:val="bottom"/>
              <w:rPr>
                <w:rFonts w:eastAsia="宋体"/>
                <w:color w:val="000000"/>
                <w:sz w:val="20"/>
              </w:rPr>
            </w:pPr>
          </w:p>
        </w:tc>
        <w:tc>
          <w:tcPr>
            <w:tcW w:w="1234" w:type="dxa"/>
            <w:gridSpan w:val="3"/>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Layout w:type="fixed"/>
          <w:tblCellMar>
            <w:top w:w="0" w:type="dxa"/>
            <w:left w:w="108" w:type="dxa"/>
            <w:bottom w:w="0" w:type="dxa"/>
            <w:right w:w="108" w:type="dxa"/>
          </w:tblCellMar>
        </w:tblPrEx>
        <w:trPr>
          <w:trHeight w:val="517" w:hRule="atLeast"/>
          <w:jc w:val="center"/>
        </w:trPr>
        <w:tc>
          <w:tcPr>
            <w:tcW w:w="1446" w:type="dxa"/>
            <w:vMerge w:val="restart"/>
            <w:tcBorders>
              <w:left w:val="single" w:color="000000" w:sz="4" w:space="0"/>
              <w:right w:val="single" w:color="000000" w:sz="4" w:space="0"/>
            </w:tcBorders>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92" w:type="dxa"/>
            <w:vMerge w:val="restart"/>
            <w:tcBorders>
              <w:top w:val="single" w:color="000000" w:sz="4" w:space="0"/>
              <w:left w:val="single" w:color="000000" w:sz="4" w:space="0"/>
              <w:right w:val="single" w:color="000000" w:sz="4" w:space="0"/>
            </w:tcBorders>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994" w:type="dxa"/>
            <w:gridSpan w:val="10"/>
            <w:tcBorders>
              <w:top w:val="single" w:color="000000" w:sz="4" w:space="0"/>
              <w:left w:val="single" w:color="000000" w:sz="4" w:space="0"/>
              <w:right w:val="single" w:color="000000" w:sz="4" w:space="0"/>
            </w:tcBorders>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627" w:type="dxa"/>
            <w:gridSpan w:val="6"/>
            <w:tcBorders>
              <w:top w:val="single" w:color="000000" w:sz="4" w:space="0"/>
              <w:left w:val="single" w:color="000000" w:sz="4" w:space="0"/>
              <w:right w:val="single" w:color="000000" w:sz="4" w:space="0"/>
            </w:tcBorders>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tblPrEx>
          <w:tblLayout w:type="fixed"/>
          <w:tblCellMar>
            <w:top w:w="0" w:type="dxa"/>
            <w:left w:w="108" w:type="dxa"/>
            <w:bottom w:w="0" w:type="dxa"/>
            <w:right w:w="108" w:type="dxa"/>
          </w:tblCellMar>
        </w:tblPrEx>
        <w:trPr>
          <w:trHeight w:val="517" w:hRule="atLeast"/>
          <w:jc w:val="center"/>
        </w:trPr>
        <w:tc>
          <w:tcPr>
            <w:tcW w:w="1446" w:type="dxa"/>
            <w:vMerge w:val="continue"/>
            <w:tcBorders>
              <w:left w:val="single" w:color="000000" w:sz="4" w:space="0"/>
              <w:right w:val="single" w:color="000000" w:sz="4" w:space="0"/>
            </w:tcBorders>
            <w:vAlign w:val="center"/>
          </w:tcPr>
          <w:p>
            <w:pPr>
              <w:widowControl/>
              <w:jc w:val="center"/>
              <w:rPr>
                <w:rFonts w:hint="eastAsia" w:eastAsia="宋体"/>
                <w:color w:val="000000"/>
                <w:sz w:val="20"/>
                <w:shd w:val="clear" w:color="auto" w:fill="FFFFFF"/>
                <w:lang w:eastAsia="zh-CN"/>
              </w:rPr>
            </w:pPr>
          </w:p>
        </w:tc>
        <w:tc>
          <w:tcPr>
            <w:tcW w:w="792" w:type="dxa"/>
            <w:vMerge w:val="continue"/>
            <w:tcBorders>
              <w:left w:val="single" w:color="000000" w:sz="4" w:space="0"/>
              <w:right w:val="single" w:color="000000" w:sz="4" w:space="0"/>
            </w:tcBorders>
            <w:vAlign w:val="center"/>
          </w:tcPr>
          <w:p>
            <w:pPr>
              <w:widowControl/>
              <w:jc w:val="center"/>
              <w:rPr>
                <w:rFonts w:hint="eastAsia" w:eastAsia="宋体"/>
                <w:color w:val="000000"/>
                <w:sz w:val="20"/>
                <w:shd w:val="clear" w:color="auto" w:fill="FFFFFF"/>
                <w:lang w:eastAsia="zh-CN"/>
              </w:rPr>
            </w:pPr>
          </w:p>
        </w:tc>
        <w:tc>
          <w:tcPr>
            <w:tcW w:w="781" w:type="dxa"/>
            <w:vMerge w:val="restart"/>
            <w:tcBorders>
              <w:top w:val="single" w:color="000000" w:sz="4" w:space="0"/>
              <w:left w:val="single" w:color="000000" w:sz="4" w:space="0"/>
              <w:right w:val="single" w:color="auto" w:sz="4" w:space="0"/>
            </w:tcBorders>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955" w:type="dxa"/>
            <w:gridSpan w:val="3"/>
            <w:tcBorders>
              <w:top w:val="single" w:color="000000" w:sz="4" w:space="0"/>
              <w:left w:val="single" w:color="auto" w:sz="4" w:space="0"/>
              <w:right w:val="single" w:color="auto" w:sz="4" w:space="0"/>
            </w:tcBorders>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660" w:type="dxa"/>
            <w:vMerge w:val="restart"/>
            <w:tcBorders>
              <w:top w:val="single" w:color="000000" w:sz="4" w:space="0"/>
              <w:left w:val="single" w:color="auto" w:sz="4" w:space="0"/>
              <w:right w:val="single" w:color="auto" w:sz="4" w:space="0"/>
            </w:tcBorders>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98" w:type="dxa"/>
            <w:gridSpan w:val="5"/>
            <w:tcBorders>
              <w:top w:val="single" w:color="000000" w:sz="4" w:space="0"/>
              <w:left w:val="single" w:color="auto" w:sz="4" w:space="0"/>
              <w:right w:val="single" w:color="000000" w:sz="4" w:space="0"/>
            </w:tcBorders>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56" w:type="dxa"/>
            <w:tcBorders>
              <w:top w:val="single" w:color="000000" w:sz="4" w:space="0"/>
              <w:left w:val="single" w:color="000000" w:sz="4" w:space="0"/>
              <w:right w:val="single" w:color="auto" w:sz="4" w:space="0"/>
            </w:tcBorders>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332" w:type="dxa"/>
            <w:gridSpan w:val="3"/>
            <w:tcBorders>
              <w:top w:val="single" w:color="000000" w:sz="4" w:space="0"/>
              <w:left w:val="single" w:color="auto" w:sz="4" w:space="0"/>
              <w:right w:val="single" w:color="auto" w:sz="4" w:space="0"/>
            </w:tcBorders>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39" w:type="dxa"/>
            <w:gridSpan w:val="2"/>
            <w:tcBorders>
              <w:top w:val="single" w:color="000000" w:sz="4" w:space="0"/>
              <w:left w:val="single" w:color="auto" w:sz="4" w:space="0"/>
              <w:right w:val="single" w:color="000000" w:sz="4" w:space="0"/>
            </w:tcBorders>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tblPrEx>
          <w:tblLayout w:type="fixed"/>
          <w:tblCellMar>
            <w:top w:w="0" w:type="dxa"/>
            <w:left w:w="108" w:type="dxa"/>
            <w:bottom w:w="0" w:type="dxa"/>
            <w:right w:w="108" w:type="dxa"/>
          </w:tblCellMar>
        </w:tblPrEx>
        <w:trPr>
          <w:trHeight w:val="6089" w:hRule="atLeast"/>
          <w:jc w:val="center"/>
        </w:trPr>
        <w:tc>
          <w:tcPr>
            <w:tcW w:w="1446" w:type="dxa"/>
            <w:vMerge w:val="continue"/>
            <w:tcBorders>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hd w:val="clear" w:color="auto" w:fill="FFFFFF"/>
              </w:rPr>
            </w:pPr>
          </w:p>
        </w:tc>
        <w:tc>
          <w:tcPr>
            <w:tcW w:w="792" w:type="dxa"/>
            <w:vMerge w:val="continue"/>
            <w:tcBorders>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hd w:val="clear" w:color="auto" w:fill="FFFFFF"/>
                <w:lang w:eastAsia="zh-CN"/>
              </w:rPr>
            </w:pPr>
          </w:p>
        </w:tc>
        <w:tc>
          <w:tcPr>
            <w:tcW w:w="781"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widowControl/>
              <w:ind w:left="113" w:right="113"/>
              <w:jc w:val="center"/>
              <w:rPr>
                <w:rFonts w:hint="eastAsia" w:eastAsia="宋体"/>
                <w:color w:val="000000"/>
                <w:sz w:val="21"/>
                <w:szCs w:val="21"/>
                <w:shd w:val="clear" w:color="auto" w:fill="FFFFFF"/>
                <w:lang w:eastAsia="zh-CN"/>
              </w:rPr>
            </w:pPr>
          </w:p>
        </w:tc>
        <w:tc>
          <w:tcPr>
            <w:tcW w:w="779"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64" w:type="dxa"/>
            <w:tcBorders>
              <w:top w:val="single" w:color="000000" w:sz="4" w:space="0"/>
              <w:left w:val="single" w:color="000000" w:sz="4" w:space="0"/>
              <w:bottom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61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660" w:type="dxa"/>
            <w:vMerge w:val="continue"/>
            <w:tcBorders>
              <w:left w:val="single" w:color="auto" w:sz="4" w:space="0"/>
              <w:bottom w:val="single" w:color="000000" w:sz="4" w:space="0"/>
              <w:right w:val="single" w:color="auto"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56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5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52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9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56" w:type="dxa"/>
            <w:tcBorders>
              <w:left w:val="single" w:color="000000" w:sz="4" w:space="0"/>
              <w:bottom w:val="single" w:color="000000" w:sz="4" w:space="0"/>
              <w:right w:val="single" w:color="auto"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5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left"/>
              <w:rPr>
                <w:rFonts w:hint="eastAsia" w:eastAsia="宋体"/>
                <w:color w:val="000000"/>
                <w:sz w:val="20"/>
                <w:szCs w:val="20"/>
                <w:shd w:val="clear" w:color="auto" w:fill="FFFFFF"/>
                <w:lang w:eastAsia="zh-CN"/>
              </w:rPr>
            </w:pPr>
          </w:p>
          <w:p>
            <w:pPr>
              <w:widowControl/>
              <w:ind w:left="113" w:right="113"/>
              <w:jc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pPr>
              <w:widowControl/>
              <w:ind w:left="113" w:right="113"/>
              <w:jc w:val="center"/>
              <w:rPr>
                <w:rFonts w:hint="eastAsia" w:eastAsia="宋体"/>
                <w:color w:val="000000"/>
                <w:sz w:val="20"/>
                <w:szCs w:val="20"/>
                <w:shd w:val="clear" w:color="auto" w:fill="FFFFFF"/>
                <w:lang w:eastAsia="zh-CN"/>
              </w:rPr>
            </w:pPr>
          </w:p>
        </w:tc>
        <w:tc>
          <w:tcPr>
            <w:tcW w:w="39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56"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383"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Layout w:type="fixed"/>
          <w:tblCellMar>
            <w:top w:w="0" w:type="dxa"/>
            <w:left w:w="108" w:type="dxa"/>
            <w:bottom w:w="0" w:type="dxa"/>
            <w:right w:w="108" w:type="dxa"/>
          </w:tblCellMar>
        </w:tblPrEx>
        <w:trPr>
          <w:trHeight w:val="517" w:hRule="atLeast"/>
          <w:jc w:val="center"/>
        </w:trPr>
        <w:tc>
          <w:tcPr>
            <w:tcW w:w="1446" w:type="dxa"/>
            <w:tcBorders>
              <w:top w:val="single" w:color="000000" w:sz="4" w:space="0"/>
              <w:left w:val="single" w:color="000000" w:sz="4" w:space="0"/>
              <w:bottom w:val="single" w:color="000000" w:sz="4" w:space="0"/>
            </w:tcBorders>
            <w:shd w:val="solid" w:color="FFFFFF" w:fill="auto"/>
            <w:vAlign w:val="center"/>
          </w:tcPr>
          <w:p>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龙井市统计局</w:t>
            </w: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159.93</w:t>
            </w:r>
          </w:p>
        </w:tc>
        <w:tc>
          <w:tcPr>
            <w:tcW w:w="7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159.93</w:t>
            </w:r>
          </w:p>
        </w:tc>
        <w:tc>
          <w:tcPr>
            <w:tcW w:w="7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159.93</w:t>
            </w:r>
          </w:p>
        </w:tc>
        <w:tc>
          <w:tcPr>
            <w:tcW w:w="56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5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17" w:hRule="atLeast"/>
          <w:jc w:val="center"/>
        </w:trPr>
        <w:tc>
          <w:tcPr>
            <w:tcW w:w="1446"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6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5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30" w:hRule="atLeast"/>
          <w:jc w:val="center"/>
        </w:trPr>
        <w:tc>
          <w:tcPr>
            <w:tcW w:w="144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eastAsia="仿宋_GB2312"/>
                <w:color w:val="000000"/>
                <w:sz w:val="20"/>
                <w:shd w:val="clear" w:color="auto" w:fill="FFFFFF"/>
                <w:lang w:val="en-US" w:eastAsia="zh-CN"/>
              </w:rPr>
            </w:pPr>
            <w:r>
              <w:rPr>
                <w:rFonts w:hint="eastAsia"/>
                <w:color w:val="000000"/>
                <w:sz w:val="20"/>
                <w:shd w:val="clear" w:color="auto" w:fill="FFFFFF"/>
                <w:lang w:val="en-US" w:eastAsia="zh-CN"/>
              </w:rPr>
              <w:t>159.93</w:t>
            </w:r>
          </w:p>
        </w:tc>
        <w:tc>
          <w:tcPr>
            <w:tcW w:w="78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eastAsia="仿宋_GB2312"/>
                <w:color w:val="000000"/>
                <w:sz w:val="20"/>
                <w:shd w:val="clear" w:color="auto" w:fill="FFFFFF"/>
                <w:lang w:val="en-US" w:eastAsia="zh-CN"/>
              </w:rPr>
            </w:pPr>
            <w:r>
              <w:rPr>
                <w:rFonts w:hint="eastAsia"/>
                <w:color w:val="000000"/>
                <w:sz w:val="20"/>
                <w:shd w:val="clear" w:color="auto" w:fill="FFFFFF"/>
                <w:lang w:val="en-US" w:eastAsia="zh-CN"/>
              </w:rPr>
              <w:t>159.93</w:t>
            </w:r>
          </w:p>
        </w:tc>
        <w:tc>
          <w:tcPr>
            <w:tcW w:w="7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eastAsia="仿宋_GB2312"/>
                <w:color w:val="000000"/>
                <w:sz w:val="20"/>
                <w:shd w:val="clear" w:color="auto" w:fill="FFFFFF"/>
                <w:lang w:val="en-US" w:eastAsia="zh-CN"/>
              </w:rPr>
            </w:pPr>
            <w:r>
              <w:rPr>
                <w:rFonts w:hint="eastAsia"/>
                <w:color w:val="000000"/>
                <w:sz w:val="20"/>
                <w:shd w:val="clear" w:color="auto" w:fill="FFFFFF"/>
                <w:lang w:val="en-US" w:eastAsia="zh-CN"/>
              </w:rPr>
              <w:t>159.93</w:t>
            </w:r>
          </w:p>
        </w:tc>
        <w:tc>
          <w:tcPr>
            <w:tcW w:w="56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6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660"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5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5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57"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tbl>
      <w:tblPr>
        <w:tblStyle w:val="11"/>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1"/>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Layout w:type="fixed"/>
                <w:tblCellMar>
                  <w:top w:w="15" w:type="dxa"/>
                  <w:left w:w="15" w:type="dxa"/>
                  <w:bottom w:w="15" w:type="dxa"/>
                  <w:right w:w="15" w:type="dxa"/>
                </w:tblCellMar>
              </w:tblPrEx>
              <w:trPr>
                <w:gridAfter w:val="1"/>
                <w:wAfter w:w="138" w:type="dxa"/>
                <w:trHeight w:val="488" w:hRule="atLeast"/>
              </w:trPr>
              <w:tc>
                <w:tcPr>
                  <w:tcW w:w="5812"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6"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173" w:hRule="atLeast"/>
              </w:trPr>
              <w:tc>
                <w:tcPr>
                  <w:tcW w:w="2149"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Layout w:type="fixed"/>
                <w:tblCellMar>
                  <w:top w:w="15" w:type="dxa"/>
                  <w:left w:w="15" w:type="dxa"/>
                  <w:bottom w:w="15" w:type="dxa"/>
                  <w:right w:w="15" w:type="dxa"/>
                </w:tblCellMar>
              </w:tblPrEx>
              <w:trPr>
                <w:trHeight w:val="545"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131.19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48.95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52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131.19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48.95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00"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52"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28.95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28.95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48"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left"/>
                    <w:rPr>
                      <w:rFonts w:eastAsia="宋体"/>
                      <w:color w:val="000000"/>
                      <w:kern w:val="0"/>
                      <w:sz w:val="20"/>
                    </w:rPr>
                  </w:pPr>
                  <w:r>
                    <w:rPr>
                      <w:rFonts w:hint="eastAsia" w:eastAsia="宋体"/>
                      <w:color w:val="000000"/>
                      <w:kern w:val="0"/>
                      <w:sz w:val="20"/>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32"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17.60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17.60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72"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17.60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17.60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8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8.34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8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left"/>
                    <w:rPr>
                      <w:rFonts w:eastAsia="宋体"/>
                      <w:color w:val="000000"/>
                      <w:kern w:val="0"/>
                      <w:sz w:val="20"/>
                    </w:rPr>
                  </w:pPr>
                  <w:r>
                    <w:rPr>
                      <w:rFonts w:hint="eastAsia" w:eastAsia="宋体"/>
                      <w:color w:val="000000"/>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9.26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60"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hint="eastAsia" w:eastAsia="宋体"/>
                      <w:color w:val="000000"/>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3.19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72"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eastAsia="宋体"/>
                      <w:color w:val="000000"/>
                      <w:kern w:val="0"/>
                      <w:sz w:val="20"/>
                    </w:rPr>
                  </w:pPr>
                  <w:r>
                    <w:rPr>
                      <w:rFonts w:hint="eastAsia" w:eastAsia="宋体"/>
                      <w:color w:val="000000"/>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3.19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3.19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eastAsia="宋体"/>
                      <w:color w:val="000000"/>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hint="eastAsia" w:ascii="宋体" w:hAnsi="宋体" w:eastAsia="宋体" w:cs="宋体"/>
                      <w:i w:val="0"/>
                      <w:color w:val="000000"/>
                      <w:kern w:val="0"/>
                      <w:sz w:val="20"/>
                      <w:szCs w:val="20"/>
                      <w:u w:val="none"/>
                      <w:lang w:val="en-US" w:eastAsia="zh-CN" w:bidi="ar"/>
                    </w:rPr>
                  </w:pPr>
                  <w:r>
                    <w:rPr>
                      <w:rFonts w:hint="eastAsia" w:eastAsia="宋体"/>
                      <w:color w:val="000000"/>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600" w:firstLineChars="300"/>
                    <w:jc w:val="left"/>
                    <w:rPr>
                      <w:rFonts w:hint="eastAsia" w:ascii="宋体" w:hAnsi="宋体" w:eastAsia="宋体" w:cs="宋体"/>
                      <w:i w:val="0"/>
                      <w:color w:val="000000"/>
                      <w:kern w:val="0"/>
                      <w:sz w:val="20"/>
                      <w:szCs w:val="20"/>
                      <w:u w:val="none"/>
                      <w:lang w:val="en-US" w:eastAsia="zh-CN" w:bidi="ar"/>
                    </w:rPr>
                  </w:pPr>
                  <w:r>
                    <w:rPr>
                      <w:rFonts w:hint="eastAsia" w:eastAsia="宋体"/>
                      <w:color w:val="000000"/>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39" w:hRule="atLeast"/>
              </w:trPr>
              <w:tc>
                <w:tcPr>
                  <w:tcW w:w="2149"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center"/>
                    <w:textAlignment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159.93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110.98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48.95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75" w:hRule="atLeast"/>
              </w:trPr>
              <w:tc>
                <w:tcPr>
                  <w:tcW w:w="2149" w:type="dxa"/>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w:t>
                  </w:r>
                </w:p>
              </w:tc>
              <w:tc>
                <w:tcPr>
                  <w:tcW w:w="1267" w:type="dxa"/>
                </w:tcPr>
                <w:p>
                  <w:pPr>
                    <w:widowControl/>
                    <w:jc w:val="right"/>
                    <w:rPr>
                      <w:rFonts w:eastAsia="宋体"/>
                      <w:color w:val="000000"/>
                      <w:kern w:val="0"/>
                      <w:sz w:val="20"/>
                    </w:rPr>
                  </w:pPr>
                </w:p>
              </w:tc>
              <w:tc>
                <w:tcPr>
                  <w:tcW w:w="1306" w:type="dxa"/>
                </w:tcPr>
                <w:p>
                  <w:pPr>
                    <w:widowControl/>
                    <w:jc w:val="right"/>
                    <w:rPr>
                      <w:rFonts w:eastAsia="宋体"/>
                      <w:color w:val="000000"/>
                      <w:kern w:val="0"/>
                      <w:sz w:val="20"/>
                    </w:rPr>
                  </w:pPr>
                </w:p>
              </w:tc>
              <w:tc>
                <w:tcPr>
                  <w:tcW w:w="1090" w:type="dxa"/>
                </w:tcPr>
                <w:p>
                  <w:pPr>
                    <w:widowControl/>
                    <w:jc w:val="right"/>
                    <w:rPr>
                      <w:rFonts w:eastAsia="宋体"/>
                      <w:color w:val="000000"/>
                      <w:kern w:val="0"/>
                      <w:sz w:val="20"/>
                    </w:rPr>
                  </w:pPr>
                </w:p>
              </w:tc>
              <w:tc>
                <w:tcPr>
                  <w:tcW w:w="1297" w:type="dxa"/>
                </w:tcPr>
                <w:p>
                  <w:pPr>
                    <w:widowControl/>
                    <w:jc w:val="right"/>
                    <w:rPr>
                      <w:rFonts w:eastAsia="宋体"/>
                      <w:color w:val="000000"/>
                      <w:kern w:val="0"/>
                      <w:sz w:val="20"/>
                    </w:rPr>
                  </w:pPr>
                </w:p>
              </w:tc>
              <w:tc>
                <w:tcPr>
                  <w:tcW w:w="1266" w:type="dxa"/>
                </w:tcPr>
                <w:p>
                  <w:pPr>
                    <w:widowControl/>
                    <w:jc w:val="right"/>
                    <w:rPr>
                      <w:rFonts w:eastAsia="宋体"/>
                      <w:color w:val="000000"/>
                      <w:kern w:val="0"/>
                      <w:sz w:val="20"/>
                    </w:rPr>
                  </w:pPr>
                </w:p>
              </w:tc>
              <w:tc>
                <w:tcPr>
                  <w:tcW w:w="1465" w:type="dxa"/>
                  <w:gridSpan w:val="3"/>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11"/>
        <w:tblW w:w="9960" w:type="dxa"/>
        <w:jc w:val="center"/>
        <w:tblInd w:w="0" w:type="dxa"/>
        <w:tblLayout w:type="fixed"/>
        <w:tblCellMar>
          <w:top w:w="0" w:type="dxa"/>
          <w:left w:w="108" w:type="dxa"/>
          <w:bottom w:w="0" w:type="dxa"/>
          <w:right w:w="108" w:type="dxa"/>
        </w:tblCellMar>
      </w:tblPr>
      <w:tblGrid>
        <w:gridCol w:w="9960"/>
      </w:tblGrid>
      <w:tr>
        <w:tblPrEx>
          <w:tblLayout w:type="fixed"/>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11"/>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018"/>
              <w:gridCol w:w="1482"/>
              <w:gridCol w:w="1148"/>
              <w:gridCol w:w="1148"/>
              <w:gridCol w:w="1150"/>
            </w:tblGrid>
            <w:tr>
              <w:tblPrEx>
                <w:tblLayout w:type="fixed"/>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Layout w:type="fixed"/>
                <w:tblCellMar>
                  <w:top w:w="0" w:type="dxa"/>
                  <w:left w:w="108" w:type="dxa"/>
                  <w:bottom w:w="0" w:type="dxa"/>
                  <w:right w:w="108" w:type="dxa"/>
                </w:tblCellMar>
              </w:tblPrEx>
              <w:trPr>
                <w:trHeight w:val="493" w:hRule="atLeast"/>
              </w:trPr>
              <w:tc>
                <w:tcPr>
                  <w:tcW w:w="47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Layout w:type="fixed"/>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1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482"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Layout w:type="fixed"/>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eastAsia="宋体"/>
                      <w:kern w:val="0"/>
                      <w:sz w:val="20"/>
                    </w:rPr>
                    <w:t>　</w:t>
                  </w:r>
                  <w:r>
                    <w:rPr>
                      <w:rFonts w:hint="eastAsia" w:eastAsia="宋体"/>
                      <w:kern w:val="0"/>
                      <w:sz w:val="20"/>
                      <w:lang w:val="en-US" w:eastAsia="zh-CN"/>
                    </w:rPr>
                    <w:t>159.93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r>
                    <w:rPr>
                      <w:rFonts w:hint="eastAsia" w:eastAsia="宋体"/>
                      <w:kern w:val="0"/>
                      <w:sz w:val="20"/>
                      <w:lang w:val="en-US" w:eastAsia="zh-CN"/>
                    </w:rPr>
                    <w:t>159.93</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159.93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159.93</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szCs w:val="22"/>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159.93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159.93</w:t>
                  </w:r>
                  <w:r>
                    <w:rPr>
                      <w:rFonts w:eastAsia="宋体"/>
                      <w:kern w:val="0"/>
                      <w:sz w:val="20"/>
                    </w:rPr>
                    <w:t>　</w:t>
                  </w: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131.19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131.19</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eastAsia="宋体"/>
                      <w:color w:val="000000"/>
                      <w:kern w:val="0"/>
                      <w:sz w:val="20"/>
                      <w:lang w:val="en-US" w:eastAsia="zh-CN"/>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lang w:val="en-US"/>
                    </w:rPr>
                  </w:pPr>
                  <w:r>
                    <w:rPr>
                      <w:rFonts w:hint="eastAsia" w:eastAsia="宋体"/>
                      <w:kern w:val="0"/>
                      <w:sz w:val="20"/>
                      <w:lang w:val="en-US" w:eastAsia="zh-CN"/>
                    </w:rPr>
                    <w:t>17.60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lang w:val="en-US"/>
                    </w:rPr>
                  </w:pPr>
                  <w:r>
                    <w:rPr>
                      <w:rFonts w:hint="eastAsia" w:eastAsia="宋体"/>
                      <w:kern w:val="0"/>
                      <w:sz w:val="20"/>
                      <w:lang w:val="en-US" w:eastAsia="zh-CN"/>
                    </w:rPr>
                    <w:t>17.60</w:t>
                  </w: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520"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eastAsia="宋体"/>
                      <w:color w:val="000000"/>
                      <w:kern w:val="0"/>
                      <w:sz w:val="20"/>
                      <w:lang w:val="en-US" w:eastAsia="zh-CN"/>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lang w:val="en-US" w:eastAsia="zh-CN"/>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3.19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3.19</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both"/>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both"/>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both"/>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lang w:val="en-US"/>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sz w:val="20"/>
                      <w:lang w:val="en-US" w:eastAsia="zh-CN"/>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7.95</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lang w:val="en-US" w:eastAsia="zh-CN"/>
                    </w:rPr>
                    <w:t>7.95</w:t>
                  </w: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01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vAlign w:val="top"/>
                </w:tcPr>
                <w:p>
                  <w:pPr>
                    <w:ind w:firstLine="200" w:firstLineChars="100"/>
                    <w:rPr>
                      <w:rFonts w:eastAsia="宋体"/>
                      <w:sz w:val="20"/>
                    </w:rPr>
                  </w:pPr>
                </w:p>
              </w:tc>
            </w:tr>
            <w:tr>
              <w:tblPrEx>
                <w:tblLayout w:type="fixed"/>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黑体"/>
                      <w:kern w:val="0"/>
                      <w:sz w:val="20"/>
                    </w:rPr>
                  </w:pPr>
                  <w:r>
                    <w:rPr>
                      <w:rFonts w:hint="eastAsia" w:eastAsia="黑体"/>
                      <w:kern w:val="0"/>
                      <w:sz w:val="20"/>
                      <w:lang w:val="en-US" w:eastAsia="zh-CN"/>
                    </w:rPr>
                    <w:t>159.93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黑体"/>
                      <w:kern w:val="0"/>
                      <w:sz w:val="20"/>
                      <w:lang w:val="en-US" w:eastAsia="zh-CN"/>
                    </w:rPr>
                  </w:pPr>
                  <w:r>
                    <w:rPr>
                      <w:rFonts w:hint="eastAsia" w:eastAsia="黑体"/>
                      <w:kern w:val="0"/>
                      <w:sz w:val="20"/>
                      <w:lang w:val="en-US" w:eastAsia="zh-CN"/>
                    </w:rPr>
                    <w:t>159.93</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黑体"/>
                      <w:kern w:val="0"/>
                      <w:sz w:val="20"/>
                    </w:rPr>
                  </w:pPr>
                </w:p>
              </w:tc>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159.93</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159.93</w:t>
                  </w:r>
                </w:p>
              </w:tc>
              <w:tc>
                <w:tcPr>
                  <w:tcW w:w="1150"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11"/>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pPr>
              <w:widowControl/>
              <w:rPr>
                <w:rFonts w:eastAsia="方正小标宋简体"/>
                <w:kern w:val="0"/>
                <w:sz w:val="44"/>
                <w:szCs w:val="44"/>
              </w:rPr>
            </w:pPr>
          </w:p>
          <w:p>
            <w:pPr>
              <w:widowControl/>
              <w:rPr>
                <w:rFonts w:eastAsia="方正小标宋简体"/>
                <w:kern w:val="0"/>
                <w:sz w:val="44"/>
                <w:szCs w:val="44"/>
              </w:rPr>
            </w:pPr>
          </w:p>
          <w:p>
            <w:pPr>
              <w:widowControl/>
              <w:rPr>
                <w:rFonts w:eastAsia="方正小标宋简体"/>
                <w:kern w:val="0"/>
                <w:sz w:val="44"/>
                <w:szCs w:val="44"/>
              </w:rPr>
            </w:pPr>
          </w:p>
          <w:tbl>
            <w:tblPr>
              <w:tblStyle w:val="11"/>
              <w:tblW w:w="8789" w:type="dxa"/>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Layout w:type="fixed"/>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131.19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19.17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48.95</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131.19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63.07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19.17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48.95</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82.24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63.07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19.17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28.95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28.95</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20.00</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17.60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17.60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17.60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17.60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8.34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8.34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8.34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9.26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9.26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lang w:val="en-US" w:eastAsia="zh-CN"/>
                    </w:rPr>
                    <w:t>7.95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159.93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110.98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91.81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19.17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48.95</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11"/>
        <w:tblW w:w="8931" w:type="dxa"/>
        <w:jc w:val="center"/>
        <w:tblInd w:w="0" w:type="dxa"/>
        <w:tblLayout w:type="fixed"/>
        <w:tblCellMar>
          <w:top w:w="0" w:type="dxa"/>
          <w:left w:w="108" w:type="dxa"/>
          <w:bottom w:w="0" w:type="dxa"/>
          <w:right w:w="108" w:type="dxa"/>
        </w:tblCellMar>
      </w:tblPr>
      <w:tblGrid>
        <w:gridCol w:w="3830"/>
        <w:gridCol w:w="1872"/>
        <w:gridCol w:w="1716"/>
        <w:gridCol w:w="1513"/>
      </w:tblGrid>
      <w:tr>
        <w:tblPrEx>
          <w:tblLayout w:type="fixed"/>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bookmarkStart w:id="0" w:name="_GoBack"/>
            <w:bookmarkEnd w:id="0"/>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90" w:hRule="atLeast"/>
          <w:jc w:val="center"/>
        </w:trPr>
        <w:tc>
          <w:tcPr>
            <w:tcW w:w="3830"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1872"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229" w:type="dxa"/>
            <w:gridSpan w:val="2"/>
            <w:tcBorders>
              <w:top w:val="nil"/>
              <w:left w:val="nil"/>
              <w:bottom w:val="single" w:color="auto" w:sz="4" w:space="0"/>
              <w:right w:val="nil"/>
            </w:tcBorders>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Layout w:type="fixed"/>
          <w:tblCellMar>
            <w:top w:w="0" w:type="dxa"/>
            <w:left w:w="108" w:type="dxa"/>
            <w:bottom w:w="0" w:type="dxa"/>
            <w:right w:w="108" w:type="dxa"/>
          </w:tblCellMar>
        </w:tblPrEx>
        <w:trPr>
          <w:trHeight w:val="812" w:hRule="atLeast"/>
          <w:jc w:val="center"/>
        </w:trPr>
        <w:tc>
          <w:tcPr>
            <w:tcW w:w="3830"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72"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16"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一、工资福利支出</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83.16</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83.16</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基本工资</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30.34</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30.34</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津贴补贴</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18.89</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18.89</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奖金</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11.76</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11.76</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kern w:val="0"/>
                <w:sz w:val="20"/>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9.26</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9.26</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kern w:val="0"/>
                <w:sz w:val="20"/>
              </w:rPr>
            </w:pPr>
            <w:r>
              <w:rPr>
                <w:rFonts w:hint="eastAsia" w:ascii="宋体" w:hAnsi="宋体" w:eastAsia="宋体" w:cs="宋体"/>
                <w:i w:val="0"/>
                <w:color w:val="000000"/>
                <w:kern w:val="0"/>
                <w:sz w:val="20"/>
                <w:szCs w:val="20"/>
                <w:u w:val="none"/>
                <w:lang w:val="en-US" w:eastAsia="zh-CN" w:bidi="ar"/>
              </w:rPr>
              <w:t>　职工基本医疗保险缴费</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3.09</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3.09</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kern w:val="0"/>
                <w:sz w:val="20"/>
              </w:rPr>
            </w:pPr>
            <w:r>
              <w:rPr>
                <w:rFonts w:hint="eastAsia" w:ascii="宋体" w:hAnsi="宋体" w:eastAsia="宋体" w:cs="宋体"/>
                <w:i w:val="0"/>
                <w:color w:val="000000"/>
                <w:kern w:val="0"/>
                <w:sz w:val="20"/>
                <w:szCs w:val="20"/>
                <w:u w:val="none"/>
                <w:lang w:val="en-US" w:eastAsia="zh-CN" w:bidi="ar"/>
              </w:rPr>
              <w:t>　其他社会保障缴费</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0.10</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0.10</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kern w:val="0"/>
                <w:sz w:val="20"/>
              </w:rPr>
            </w:pPr>
            <w:r>
              <w:rPr>
                <w:rFonts w:hint="eastAsia" w:ascii="宋体" w:hAnsi="宋体" w:eastAsia="宋体" w:cs="宋体"/>
                <w:i w:val="0"/>
                <w:color w:val="000000"/>
                <w:kern w:val="0"/>
                <w:sz w:val="20"/>
                <w:szCs w:val="20"/>
                <w:u w:val="none"/>
                <w:lang w:val="en-US" w:eastAsia="zh-CN" w:bidi="ar"/>
              </w:rPr>
              <w:t>　住房公积金</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eastAsia="宋体"/>
                <w:kern w:val="0"/>
                <w:sz w:val="20"/>
                <w:lang w:val="en-US" w:eastAsia="zh-CN"/>
              </w:rPr>
            </w:pPr>
            <w:r>
              <w:rPr>
                <w:rFonts w:hint="eastAsia" w:eastAsia="宋体"/>
                <w:kern w:val="0"/>
                <w:sz w:val="20"/>
                <w:lang w:val="en-US" w:eastAsia="zh-CN"/>
              </w:rPr>
              <w:t>7.95</w:t>
            </w:r>
          </w:p>
        </w:tc>
        <w:tc>
          <w:tcPr>
            <w:tcW w:w="17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r>
              <w:rPr>
                <w:rFonts w:hint="eastAsia" w:eastAsia="宋体"/>
                <w:kern w:val="0"/>
                <w:sz w:val="20"/>
                <w:lang w:val="en-US" w:eastAsia="zh-CN"/>
              </w:rPr>
              <w:t>7.95</w:t>
            </w:r>
          </w:p>
        </w:tc>
        <w:tc>
          <w:tcPr>
            <w:tcW w:w="15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kern w:val="0"/>
                <w:sz w:val="20"/>
              </w:rPr>
            </w:pPr>
            <w:r>
              <w:rPr>
                <w:rFonts w:hint="eastAsia" w:ascii="宋体" w:hAnsi="宋体" w:eastAsia="宋体" w:cs="宋体"/>
                <w:i w:val="0"/>
                <w:color w:val="000000"/>
                <w:kern w:val="0"/>
                <w:sz w:val="20"/>
                <w:szCs w:val="20"/>
                <w:u w:val="none"/>
                <w:lang w:val="en-US" w:eastAsia="zh-CN" w:bidi="ar"/>
              </w:rPr>
              <w:t>　医疗费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1.04</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1.04</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其他工资福利支出</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0.73</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0.73</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二、商品和服务支出</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18.69</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18.69</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办公费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1.00</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1.00</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lang w:val="en-US"/>
              </w:rPr>
            </w:pPr>
            <w:r>
              <w:rPr>
                <w:rFonts w:hint="eastAsia" w:ascii="宋体" w:hAnsi="宋体" w:eastAsia="宋体" w:cs="宋体"/>
                <w:i w:val="0"/>
                <w:color w:val="000000"/>
                <w:kern w:val="0"/>
                <w:sz w:val="20"/>
                <w:szCs w:val="20"/>
                <w:u w:val="none"/>
                <w:lang w:val="en-US" w:eastAsia="zh-CN" w:bidi="ar"/>
              </w:rPr>
              <w:t>　印刷费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0.45</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0.45</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手续费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0.08</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0.08</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水费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0.25</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0.25</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电费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1.16</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1.16</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邮电费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1.15</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1.15</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取暖费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0.89</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0.89</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物业管理费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1.24</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1.24</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差旅费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1.50</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1.50</w:t>
            </w:r>
          </w:p>
        </w:tc>
      </w:tr>
      <w:tr>
        <w:tblPrEx>
          <w:tblLayout w:type="fixed"/>
          <w:tblCellMar>
            <w:top w:w="0" w:type="dxa"/>
            <w:left w:w="108" w:type="dxa"/>
            <w:bottom w:w="0" w:type="dxa"/>
            <w:right w:w="108" w:type="dxa"/>
          </w:tblCellMar>
        </w:tblPrEx>
        <w:trPr>
          <w:trHeight w:val="636"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i w:val="0"/>
                <w:color w:val="000000"/>
                <w:kern w:val="0"/>
                <w:sz w:val="20"/>
                <w:szCs w:val="20"/>
                <w:u w:val="none"/>
                <w:lang w:val="en-US" w:eastAsia="zh-CN" w:bidi="ar"/>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0"/>
                <w:lang w:val="en-US" w:eastAsia="zh-CN"/>
              </w:rPr>
            </w:pPr>
            <w:r>
              <w:rPr>
                <w:rFonts w:eastAsia="华文细黑"/>
                <w:color w:val="000000"/>
                <w:kern w:val="0"/>
                <w:sz w:val="20"/>
              </w:rPr>
              <w:t>合计</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0"/>
                <w:lang w:val="en-US" w:eastAsia="zh-CN"/>
              </w:rPr>
            </w:pPr>
            <w:r>
              <w:rPr>
                <w:rFonts w:eastAsia="华文细黑"/>
                <w:color w:val="000000"/>
                <w:kern w:val="0"/>
                <w:sz w:val="20"/>
              </w:rPr>
              <w:t>公用经费</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维修（护）费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0.39</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0.39</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培训费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0.02</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0.02</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公务接待费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0.12</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0.12</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工会经费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0.96</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0.96</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福利费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2.93</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2.93</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其他交通费用</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4.44</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4.44</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其他商品和服务支出</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2.11</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2.11</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三、对个人和家庭的补助</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8.65</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8.65</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退休费</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8.34</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8.34</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其他对个人和家庭的补助</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0.31</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0.31</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四、资本性支出</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0.48</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0.48</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color w:val="000000"/>
                <w:kern w:val="0"/>
                <w:sz w:val="20"/>
                <w:szCs w:val="20"/>
                <w:u w:val="none"/>
                <w:lang w:val="en-US" w:eastAsia="zh-CN" w:bidi="ar"/>
              </w:rPr>
              <w:t>　办公设备购置</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0.48</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r>
              <w:rPr>
                <w:rFonts w:hint="eastAsia" w:eastAsia="宋体"/>
                <w:kern w:val="0"/>
                <w:sz w:val="20"/>
                <w:lang w:val="en-US" w:eastAsia="zh-CN"/>
              </w:rPr>
              <w:t>0.48</w:t>
            </w: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eastAsia="宋体"/>
                <w:color w:val="000000"/>
                <w:kern w:val="0"/>
                <w:sz w:val="20"/>
              </w:rPr>
            </w:pP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pPr>
          </w:p>
        </w:tc>
      </w:tr>
      <w:tr>
        <w:tblPrEx>
          <w:tblLayout w:type="fixed"/>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1400" w:firstLineChars="700"/>
              <w:jc w:val="left"/>
              <w:textAlignment w:val="auto"/>
              <w:outlineLvl w:val="9"/>
              <w:rPr>
                <w:rFonts w:eastAsia="宋体"/>
                <w:color w:val="000000"/>
                <w:kern w:val="0"/>
                <w:sz w:val="20"/>
              </w:rPr>
            </w:pPr>
            <w:r>
              <w:rPr>
                <w:rFonts w:eastAsia="华文细黑"/>
                <w:color w:val="000000"/>
                <w:kern w:val="0"/>
                <w:sz w:val="20"/>
              </w:rPr>
              <w:t>合计</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lang w:val="en-US" w:eastAsia="zh-CN"/>
              </w:rPr>
            </w:pPr>
            <w:r>
              <w:rPr>
                <w:rFonts w:hint="eastAsia" w:eastAsia="宋体"/>
                <w:kern w:val="0"/>
                <w:sz w:val="20"/>
                <w:lang w:val="en-US" w:eastAsia="zh-CN"/>
              </w:rPr>
              <w:t>110.98</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szCs w:val="22"/>
                <w:lang w:val="en-US" w:eastAsia="zh-CN"/>
              </w:rPr>
            </w:pPr>
            <w:r>
              <w:rPr>
                <w:rFonts w:hint="eastAsia" w:eastAsia="宋体"/>
                <w:kern w:val="0"/>
                <w:sz w:val="20"/>
                <w:szCs w:val="22"/>
                <w:lang w:val="en-US" w:eastAsia="zh-CN"/>
              </w:rPr>
              <w:t>91.81</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kern w:val="0"/>
                <w:sz w:val="20"/>
                <w:szCs w:val="22"/>
                <w:lang w:val="en-US" w:eastAsia="zh-CN"/>
              </w:rPr>
            </w:pPr>
            <w:r>
              <w:rPr>
                <w:rFonts w:hint="eastAsia" w:eastAsia="宋体"/>
                <w:kern w:val="0"/>
                <w:sz w:val="20"/>
                <w:szCs w:val="22"/>
                <w:lang w:val="en-US" w:eastAsia="zh-CN"/>
              </w:rPr>
              <w:t>19.17</w:t>
            </w: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ind w:firstLine="636"/>
        <w:rPr>
          <w:rFonts w:hAnsi="楷体" w:eastAsia="楷体"/>
        </w:rPr>
      </w:pPr>
    </w:p>
    <w:p>
      <w:pPr>
        <w:ind w:firstLine="636"/>
        <w:rPr>
          <w:rFonts w:eastAsia="楷体"/>
        </w:rPr>
      </w:pPr>
    </w:p>
    <w:p>
      <w:pPr>
        <w:ind w:firstLine="636"/>
        <w:rPr>
          <w:rFonts w:eastAsia="楷体"/>
        </w:rPr>
      </w:pPr>
    </w:p>
    <w:p>
      <w:pPr>
        <w:ind w:firstLine="636"/>
        <w:rPr>
          <w:rFonts w:eastAsia="楷体"/>
        </w:rPr>
      </w:pPr>
    </w:p>
    <w:p>
      <w:pPr>
        <w:ind w:firstLine="636"/>
        <w:rPr>
          <w:rFonts w:eastAsia="楷体"/>
        </w:rPr>
      </w:pPr>
    </w:p>
    <w:tbl>
      <w:tblPr>
        <w:tblStyle w:val="11"/>
        <w:tblW w:w="9140" w:type="dxa"/>
        <w:jc w:val="center"/>
        <w:tblInd w:w="0" w:type="dxa"/>
        <w:tblLayout w:type="fixed"/>
        <w:tblCellMar>
          <w:top w:w="0" w:type="dxa"/>
          <w:left w:w="108" w:type="dxa"/>
          <w:bottom w:w="0" w:type="dxa"/>
          <w:right w:w="108" w:type="dxa"/>
        </w:tblCellMar>
      </w:tblPr>
      <w:tblGrid>
        <w:gridCol w:w="5769"/>
        <w:gridCol w:w="3371"/>
      </w:tblGrid>
      <w:tr>
        <w:tblPrEx>
          <w:tblLayout w:type="fixed"/>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Layout w:type="fixed"/>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Layout w:type="fixed"/>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0.12</w:t>
            </w: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0.12</w:t>
            </w: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1428" w:hRule="atLeast"/>
          <w:jc w:val="center"/>
        </w:trPr>
        <w:tc>
          <w:tcPr>
            <w:tcW w:w="9140" w:type="dxa"/>
            <w:gridSpan w:val="2"/>
            <w:tcBorders>
              <w:top w:val="single" w:color="auto" w:sz="4" w:space="0"/>
              <w:left w:val="nil"/>
              <w:bottom w:val="nil"/>
              <w:right w:val="nil"/>
            </w:tcBorders>
            <w:vAlign w:val="center"/>
          </w:tcPr>
          <w:p>
            <w:pPr>
              <w:widowControl/>
              <w:numPr>
                <w:ilvl w:val="0"/>
                <w:numId w:val="0"/>
              </w:numPr>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320" w:firstLineChars="100"/>
        <w:rPr>
          <w:rFonts w:hint="eastAsia" w:hAnsi="楷体" w:eastAsia="楷体"/>
          <w:lang w:val="en-US" w:eastAsia="zh-CN"/>
        </w:rPr>
      </w:pPr>
      <w:r>
        <w:rPr>
          <w:rFonts w:hint="eastAsia" w:hAnsi="楷体" w:eastAsia="楷体"/>
          <w:lang w:val="en-US" w:eastAsia="zh-CN"/>
        </w:rPr>
        <w:t>说明：本单位2025年度无政府性基金预算，故本表无数据。</w:t>
      </w: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11"/>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ind w:firstLine="320" w:firstLineChars="100"/>
        <w:rPr>
          <w:rFonts w:hint="eastAsia" w:hAnsi="楷体" w:eastAsia="楷体"/>
          <w:lang w:val="en-US" w:eastAsia="zh-CN"/>
        </w:rPr>
      </w:pPr>
      <w:r>
        <w:rPr>
          <w:rFonts w:hint="eastAsia" w:hAnsi="楷体" w:eastAsia="楷体"/>
          <w:lang w:val="en-US" w:eastAsia="zh-CN"/>
        </w:rPr>
        <w:t>说明：本单位2025年度无国有资本经营预算，故本表无数据。</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11"/>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ind w:firstLine="640" w:firstLineChars="200"/>
        <w:rPr>
          <w:rFonts w:eastAsia="楷体"/>
          <w:kern w:val="0"/>
          <w:szCs w:val="32"/>
        </w:rPr>
      </w:pPr>
    </w:p>
    <w:tbl>
      <w:tblPr>
        <w:tblStyle w:val="11"/>
        <w:tblW w:w="10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76"/>
        <w:gridCol w:w="1080"/>
        <w:gridCol w:w="307"/>
        <w:gridCol w:w="240"/>
        <w:gridCol w:w="329"/>
        <w:gridCol w:w="836"/>
        <w:gridCol w:w="738"/>
        <w:gridCol w:w="560"/>
        <w:gridCol w:w="459"/>
        <w:gridCol w:w="445"/>
        <w:gridCol w:w="472"/>
        <w:gridCol w:w="650"/>
        <w:gridCol w:w="384"/>
        <w:gridCol w:w="598"/>
        <w:gridCol w:w="592"/>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10329" w:type="dxa"/>
            <w:gridSpan w:val="17"/>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229"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263" w:type="dxa"/>
            <w:gridSpan w:val="3"/>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329"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836"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229" w:type="dxa"/>
            <w:vMerge w:val="restart"/>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类型</w:t>
            </w:r>
          </w:p>
        </w:tc>
        <w:tc>
          <w:tcPr>
            <w:tcW w:w="1956" w:type="dxa"/>
            <w:gridSpan w:val="2"/>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项目名称</w:t>
            </w:r>
          </w:p>
        </w:tc>
        <w:tc>
          <w:tcPr>
            <w:tcW w:w="876" w:type="dxa"/>
            <w:gridSpan w:val="3"/>
            <w:vMerge w:val="restart"/>
            <w:textDirection w:val="tbRlV"/>
            <w:vAlign w:val="center"/>
          </w:tcPr>
          <w:p>
            <w:pPr>
              <w:autoSpaceDN w:val="0"/>
              <w:ind w:left="113" w:leftChars="0" w:right="113" w:rightChars="0"/>
              <w:jc w:val="center"/>
              <w:textAlignment w:val="center"/>
              <w:rPr>
                <w:rFonts w:hint="eastAsia" w:ascii="宋体" w:hAnsi="宋体" w:eastAsia="宋体" w:cs="宋体"/>
                <w:color w:val="000000"/>
                <w:sz w:val="20"/>
                <w:szCs w:val="22"/>
                <w:lang w:eastAsia="zh-CN"/>
              </w:rPr>
            </w:pPr>
            <w:r>
              <w:rPr>
                <w:rFonts w:hint="eastAsia" w:ascii="Calibri" w:hAnsi="Calibri" w:eastAsia="华文细黑"/>
                <w:color w:val="000000"/>
                <w:sz w:val="20"/>
                <w:szCs w:val="22"/>
                <w:lang w:eastAsia="zh-CN"/>
              </w:rPr>
              <w:t>部门（单位）名称</w:t>
            </w:r>
          </w:p>
        </w:tc>
        <w:tc>
          <w:tcPr>
            <w:tcW w:w="836" w:type="dxa"/>
            <w:vMerge w:val="restart"/>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合计</w:t>
            </w:r>
          </w:p>
        </w:tc>
        <w:tc>
          <w:tcPr>
            <w:tcW w:w="2674" w:type="dxa"/>
            <w:gridSpan w:val="5"/>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lang w:eastAsia="zh-CN"/>
              </w:rPr>
              <w:t>本年预算</w:t>
            </w:r>
          </w:p>
        </w:tc>
        <w:tc>
          <w:tcPr>
            <w:tcW w:w="2758" w:type="dxa"/>
            <w:gridSpan w:val="5"/>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229" w:type="dxa"/>
            <w:vMerge w:val="continue"/>
            <w:vAlign w:val="center"/>
          </w:tcPr>
          <w:p>
            <w:pPr>
              <w:autoSpaceDN w:val="0"/>
              <w:jc w:val="center"/>
              <w:textAlignment w:val="center"/>
              <w:rPr>
                <w:rFonts w:hint="eastAsia" w:ascii="宋体" w:hAnsi="宋体" w:eastAsia="宋体" w:cs="宋体"/>
                <w:color w:val="000000"/>
                <w:sz w:val="20"/>
                <w:szCs w:val="22"/>
              </w:rPr>
            </w:pPr>
          </w:p>
        </w:tc>
        <w:tc>
          <w:tcPr>
            <w:tcW w:w="876" w:type="dxa"/>
            <w:vMerge w:val="restart"/>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一级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80" w:type="dxa"/>
            <w:vMerge w:val="restart"/>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二级项目</w:t>
            </w:r>
          </w:p>
        </w:tc>
        <w:tc>
          <w:tcPr>
            <w:tcW w:w="876" w:type="dxa"/>
            <w:gridSpan w:val="3"/>
            <w:vMerge w:val="continue"/>
            <w:textDirection w:val="tbLrV"/>
            <w:vAlign w:val="center"/>
          </w:tcPr>
          <w:p>
            <w:pPr>
              <w:autoSpaceDN w:val="0"/>
              <w:ind w:left="113" w:leftChars="0" w:right="113" w:rightChars="0"/>
              <w:jc w:val="center"/>
              <w:textAlignment w:val="center"/>
              <w:rPr>
                <w:rFonts w:hint="eastAsia" w:ascii="宋体" w:hAnsi="宋体" w:eastAsia="宋体" w:cs="宋体"/>
                <w:color w:val="000000"/>
                <w:sz w:val="20"/>
                <w:szCs w:val="22"/>
                <w:lang w:eastAsia="zh-CN"/>
              </w:rPr>
            </w:pPr>
          </w:p>
        </w:tc>
        <w:tc>
          <w:tcPr>
            <w:tcW w:w="836" w:type="dxa"/>
            <w:vMerge w:val="continue"/>
            <w:vAlign w:val="center"/>
          </w:tcPr>
          <w:p>
            <w:pPr>
              <w:autoSpaceDN w:val="0"/>
              <w:jc w:val="center"/>
              <w:textAlignment w:val="center"/>
              <w:rPr>
                <w:rFonts w:hint="eastAsia" w:ascii="宋体" w:hAnsi="宋体" w:eastAsia="宋体" w:cs="宋体"/>
                <w:color w:val="000000"/>
                <w:sz w:val="20"/>
                <w:szCs w:val="22"/>
              </w:rPr>
            </w:pPr>
          </w:p>
        </w:tc>
        <w:tc>
          <w:tcPr>
            <w:tcW w:w="1757" w:type="dxa"/>
            <w:gridSpan w:val="3"/>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财政拨款</w:t>
            </w:r>
          </w:p>
        </w:tc>
        <w:tc>
          <w:tcPr>
            <w:tcW w:w="445" w:type="dxa"/>
            <w:vMerge w:val="restart"/>
            <w:textDirection w:val="tbLrV"/>
            <w:vAlign w:val="center"/>
          </w:tcPr>
          <w:p>
            <w:pPr>
              <w:autoSpaceDN w:val="0"/>
              <w:ind w:left="113" w:leftChars="0" w:right="113" w:rightChars="0"/>
              <w:jc w:val="center"/>
              <w:textAlignment w:val="center"/>
              <w:rPr>
                <w:rFonts w:hint="eastAsia" w:ascii="宋体" w:hAnsi="宋体" w:eastAsia="宋体" w:cs="宋体"/>
                <w:color w:val="000000"/>
                <w:sz w:val="20"/>
                <w:szCs w:val="22"/>
                <w:lang w:eastAsia="zh-CN"/>
              </w:rPr>
            </w:pPr>
            <w:r>
              <w:rPr>
                <w:rFonts w:hint="eastAsia" w:ascii="Calibri" w:hAnsi="Calibri" w:eastAsia="华文细黑"/>
                <w:color w:val="000000"/>
                <w:sz w:val="20"/>
                <w:szCs w:val="22"/>
                <w:lang w:eastAsia="zh-CN"/>
              </w:rPr>
              <w:t>财政专户管理资金</w:t>
            </w:r>
          </w:p>
        </w:tc>
        <w:tc>
          <w:tcPr>
            <w:tcW w:w="472" w:type="dxa"/>
            <w:vMerge w:val="restart"/>
            <w:textDirection w:val="tbLrV"/>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lang w:eastAsia="zh-CN"/>
              </w:rPr>
              <w:t>单位资金</w:t>
            </w:r>
          </w:p>
        </w:tc>
        <w:tc>
          <w:tcPr>
            <w:tcW w:w="1632" w:type="dxa"/>
            <w:gridSpan w:val="3"/>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财政拨款结转</w:t>
            </w:r>
          </w:p>
        </w:tc>
        <w:tc>
          <w:tcPr>
            <w:tcW w:w="1126" w:type="dxa"/>
            <w:gridSpan w:val="2"/>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jc w:val="center"/>
        </w:trPr>
        <w:tc>
          <w:tcPr>
            <w:tcW w:w="1229" w:type="dxa"/>
            <w:vMerge w:val="continue"/>
            <w:vAlign w:val="center"/>
          </w:tcPr>
          <w:p>
            <w:pPr>
              <w:autoSpaceDN w:val="0"/>
              <w:jc w:val="center"/>
              <w:textAlignment w:val="center"/>
              <w:rPr>
                <w:rFonts w:hint="eastAsia" w:ascii="宋体" w:hAnsi="宋体" w:eastAsia="宋体" w:cs="宋体"/>
                <w:color w:val="000000"/>
                <w:sz w:val="20"/>
                <w:szCs w:val="22"/>
              </w:rPr>
            </w:pPr>
          </w:p>
        </w:tc>
        <w:tc>
          <w:tcPr>
            <w:tcW w:w="876" w:type="dxa"/>
            <w:vMerge w:val="continue"/>
            <w:vAlign w:val="center"/>
          </w:tcPr>
          <w:p>
            <w:pPr>
              <w:autoSpaceDN w:val="0"/>
              <w:jc w:val="center"/>
              <w:textAlignment w:val="center"/>
              <w:rPr>
                <w:rFonts w:hint="eastAsia" w:ascii="宋体" w:hAnsi="宋体" w:eastAsia="宋体" w:cs="宋体"/>
                <w:color w:val="000000"/>
                <w:sz w:val="20"/>
                <w:szCs w:val="22"/>
              </w:rPr>
            </w:pPr>
          </w:p>
        </w:tc>
        <w:tc>
          <w:tcPr>
            <w:tcW w:w="1080" w:type="dxa"/>
            <w:vMerge w:val="continue"/>
            <w:vAlign w:val="center"/>
          </w:tcPr>
          <w:p>
            <w:pPr>
              <w:autoSpaceDN w:val="0"/>
              <w:jc w:val="center"/>
              <w:textAlignment w:val="center"/>
              <w:rPr>
                <w:rFonts w:hint="eastAsia" w:ascii="宋体" w:hAnsi="宋体" w:eastAsia="宋体" w:cs="宋体"/>
                <w:color w:val="000000"/>
                <w:sz w:val="20"/>
                <w:szCs w:val="22"/>
              </w:rPr>
            </w:pPr>
          </w:p>
        </w:tc>
        <w:tc>
          <w:tcPr>
            <w:tcW w:w="876" w:type="dxa"/>
            <w:gridSpan w:val="3"/>
            <w:vMerge w:val="continue"/>
            <w:vAlign w:val="center"/>
          </w:tcPr>
          <w:p>
            <w:pPr>
              <w:autoSpaceDN w:val="0"/>
              <w:jc w:val="center"/>
              <w:textAlignment w:val="center"/>
              <w:rPr>
                <w:rFonts w:hint="eastAsia" w:ascii="宋体" w:hAnsi="宋体" w:eastAsia="宋体" w:cs="宋体"/>
                <w:color w:val="000000"/>
                <w:sz w:val="20"/>
                <w:szCs w:val="22"/>
              </w:rPr>
            </w:pPr>
          </w:p>
        </w:tc>
        <w:tc>
          <w:tcPr>
            <w:tcW w:w="836" w:type="dxa"/>
            <w:vMerge w:val="continue"/>
            <w:vAlign w:val="center"/>
          </w:tcPr>
          <w:p>
            <w:pPr>
              <w:autoSpaceDN w:val="0"/>
              <w:jc w:val="center"/>
              <w:textAlignment w:val="center"/>
              <w:rPr>
                <w:rFonts w:hint="eastAsia" w:ascii="宋体" w:hAnsi="宋体" w:eastAsia="宋体" w:cs="宋体"/>
                <w:color w:val="000000"/>
                <w:sz w:val="20"/>
                <w:szCs w:val="22"/>
              </w:rPr>
            </w:pPr>
          </w:p>
        </w:tc>
        <w:tc>
          <w:tcPr>
            <w:tcW w:w="738" w:type="dxa"/>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一般公共预算</w:t>
            </w:r>
          </w:p>
        </w:tc>
        <w:tc>
          <w:tcPr>
            <w:tcW w:w="560"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预算</w:t>
            </w:r>
          </w:p>
        </w:tc>
        <w:tc>
          <w:tcPr>
            <w:tcW w:w="459" w:type="dxa"/>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Calibri" w:hAnsi="Calibri" w:eastAsia="华文细黑"/>
                <w:color w:val="000000"/>
                <w:sz w:val="20"/>
                <w:szCs w:val="22"/>
                <w:lang w:eastAsia="zh-CN"/>
              </w:rPr>
              <w:t>国有资本经营预算</w:t>
            </w:r>
          </w:p>
        </w:tc>
        <w:tc>
          <w:tcPr>
            <w:tcW w:w="445" w:type="dxa"/>
            <w:vMerge w:val="continue"/>
            <w:textDirection w:val="tbLrV"/>
            <w:vAlign w:val="center"/>
          </w:tcPr>
          <w:p>
            <w:pPr>
              <w:autoSpaceDN w:val="0"/>
              <w:ind w:left="113" w:leftChars="0" w:right="113" w:rightChars="0"/>
              <w:jc w:val="center"/>
              <w:textAlignment w:val="center"/>
              <w:rPr>
                <w:rFonts w:hint="eastAsia" w:ascii="宋体" w:hAnsi="宋体" w:eastAsia="宋体" w:cs="宋体"/>
                <w:color w:val="000000"/>
                <w:sz w:val="20"/>
                <w:szCs w:val="22"/>
                <w:lang w:eastAsia="zh-CN"/>
              </w:rPr>
            </w:pPr>
          </w:p>
        </w:tc>
        <w:tc>
          <w:tcPr>
            <w:tcW w:w="472" w:type="dxa"/>
            <w:vMerge w:val="continue"/>
            <w:textDirection w:val="tbLrV"/>
            <w:vAlign w:val="center"/>
          </w:tcPr>
          <w:p>
            <w:pPr>
              <w:autoSpaceDN w:val="0"/>
              <w:ind w:left="113" w:leftChars="0" w:right="113" w:rightChars="0"/>
              <w:jc w:val="center"/>
              <w:textAlignment w:val="center"/>
              <w:rPr>
                <w:rFonts w:hint="eastAsia" w:ascii="宋体" w:hAnsi="宋体" w:eastAsia="宋体" w:cs="宋体"/>
                <w:color w:val="000000"/>
                <w:sz w:val="20"/>
                <w:szCs w:val="22"/>
              </w:rPr>
            </w:pPr>
          </w:p>
        </w:tc>
        <w:tc>
          <w:tcPr>
            <w:tcW w:w="650" w:type="dxa"/>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84" w:type="dxa"/>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98" w:type="dxa"/>
            <w:vAlign w:val="center"/>
          </w:tcPr>
          <w:p>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92" w:type="dxa"/>
            <w:textDirection w:val="tbRlV"/>
            <w:vAlign w:val="center"/>
          </w:tcPr>
          <w:p>
            <w:pPr>
              <w:autoSpaceDN w:val="0"/>
              <w:ind w:left="113" w:leftChars="0" w:right="113" w:rightChars="0"/>
              <w:jc w:val="center"/>
              <w:textAlignment w:val="center"/>
              <w:rPr>
                <w:rFonts w:hint="eastAsia" w:ascii="宋体" w:hAnsi="宋体" w:eastAsia="宋体" w:cs="宋体"/>
                <w:color w:val="000000"/>
                <w:sz w:val="20"/>
                <w:szCs w:val="22"/>
                <w:lang w:eastAsia="zh-CN"/>
              </w:rPr>
            </w:pPr>
            <w:r>
              <w:rPr>
                <w:rFonts w:hint="eastAsia" w:ascii="Calibri" w:hAnsi="Calibri" w:eastAsia="华文细黑"/>
                <w:color w:val="000000" w:themeColor="text1"/>
                <w:sz w:val="20"/>
                <w:szCs w:val="22"/>
                <w:lang w:eastAsia="zh-CN"/>
                <w14:textFill>
                  <w14:solidFill>
                    <w14:schemeClr w14:val="tx1"/>
                  </w14:solidFill>
                </w14:textFill>
              </w:rPr>
              <w:t>财政专户管理资金</w:t>
            </w:r>
          </w:p>
        </w:tc>
        <w:tc>
          <w:tcPr>
            <w:tcW w:w="534" w:type="dxa"/>
            <w:textDirection w:val="tbRlV"/>
            <w:vAlign w:val="center"/>
          </w:tcPr>
          <w:p>
            <w:pPr>
              <w:autoSpaceDN w:val="0"/>
              <w:ind w:left="113" w:leftChars="0" w:right="113" w:rightChars="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29" w:type="dxa"/>
            <w:vAlign w:val="center"/>
          </w:tcPr>
          <w:p>
            <w:pPr>
              <w:keepNext w:val="0"/>
              <w:keepLines w:val="0"/>
              <w:widowControl/>
              <w:suppressLineNumbers w:val="0"/>
              <w:jc w:val="left"/>
              <w:textAlignment w:val="center"/>
              <w:rPr>
                <w:rFonts w:hint="eastAsia" w:ascii="Calibri" w:hAnsi="Calibri" w:eastAsia="楷体"/>
                <w:kern w:val="0"/>
                <w:szCs w:val="32"/>
                <w:lang w:val="en-US" w:eastAsia="zh-CN"/>
              </w:rPr>
            </w:pPr>
            <w:r>
              <w:rPr>
                <w:rFonts w:hint="eastAsia" w:ascii="宋体" w:hAnsi="宋体" w:eastAsia="宋体" w:cs="宋体"/>
                <w:i w:val="0"/>
                <w:color w:val="000000"/>
                <w:kern w:val="0"/>
                <w:sz w:val="20"/>
                <w:szCs w:val="20"/>
                <w:u w:val="none"/>
                <w:lang w:val="en-US" w:eastAsia="zh-CN" w:bidi="ar"/>
              </w:rPr>
              <w:t>31部门特定目标类项目</w:t>
            </w:r>
          </w:p>
        </w:tc>
        <w:tc>
          <w:tcPr>
            <w:tcW w:w="876" w:type="dxa"/>
            <w:vAlign w:val="center"/>
          </w:tcPr>
          <w:p>
            <w:pPr>
              <w:jc w:val="left"/>
              <w:rPr>
                <w:rFonts w:ascii="Calibri" w:hAnsi="Calibri" w:eastAsia="楷体"/>
                <w:kern w:val="0"/>
                <w:szCs w:val="32"/>
              </w:rPr>
            </w:pPr>
          </w:p>
        </w:tc>
        <w:tc>
          <w:tcPr>
            <w:tcW w:w="1080" w:type="dxa"/>
            <w:vAlign w:val="center"/>
          </w:tcPr>
          <w:p>
            <w:pPr>
              <w:jc w:val="left"/>
              <w:rPr>
                <w:rFonts w:ascii="Calibri" w:hAnsi="Calibri" w:eastAsia="楷体"/>
                <w:kern w:val="0"/>
                <w:szCs w:val="32"/>
              </w:rPr>
            </w:pPr>
          </w:p>
        </w:tc>
        <w:tc>
          <w:tcPr>
            <w:tcW w:w="876" w:type="dxa"/>
            <w:gridSpan w:val="3"/>
            <w:vAlign w:val="center"/>
          </w:tcPr>
          <w:p>
            <w:pPr>
              <w:keepNext w:val="0"/>
              <w:keepLines w:val="0"/>
              <w:widowControl/>
              <w:suppressLineNumbers w:val="0"/>
              <w:jc w:val="left"/>
              <w:textAlignment w:val="center"/>
              <w:rPr>
                <w:rFonts w:ascii="Calibri" w:hAnsi="Calibri" w:eastAsia="楷体"/>
                <w:kern w:val="0"/>
                <w:szCs w:val="32"/>
              </w:rPr>
            </w:pPr>
          </w:p>
        </w:tc>
        <w:tc>
          <w:tcPr>
            <w:tcW w:w="836" w:type="dxa"/>
            <w:vAlign w:val="center"/>
          </w:tcPr>
          <w:p>
            <w:pPr>
              <w:keepNext w:val="0"/>
              <w:keepLines w:val="0"/>
              <w:widowControl/>
              <w:suppressLineNumbers w:val="0"/>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48.95</w:t>
            </w:r>
          </w:p>
        </w:tc>
        <w:tc>
          <w:tcPr>
            <w:tcW w:w="738" w:type="dxa"/>
            <w:vAlign w:val="center"/>
          </w:tcPr>
          <w:p>
            <w:pPr>
              <w:keepNext w:val="0"/>
              <w:keepLines w:val="0"/>
              <w:widowControl/>
              <w:suppressLineNumbers w:val="0"/>
              <w:jc w:val="right"/>
              <w:textAlignment w:val="center"/>
              <w:rPr>
                <w:rFonts w:ascii="Calibri" w:hAnsi="Calibri" w:eastAsia="楷体"/>
                <w:kern w:val="0"/>
                <w:szCs w:val="32"/>
              </w:rPr>
            </w:pPr>
            <w:r>
              <w:rPr>
                <w:rFonts w:hint="eastAsia" w:ascii="Times New Roman" w:hAnsi="Times New Roman" w:eastAsia="宋体" w:cs="Times New Roman"/>
                <w:i w:val="0"/>
                <w:color w:val="000000"/>
                <w:kern w:val="0"/>
                <w:sz w:val="20"/>
                <w:szCs w:val="20"/>
                <w:u w:val="none"/>
                <w:lang w:val="en-US" w:eastAsia="zh-CN" w:bidi="ar"/>
              </w:rPr>
              <w:t>48.95</w:t>
            </w:r>
          </w:p>
        </w:tc>
        <w:tc>
          <w:tcPr>
            <w:tcW w:w="560" w:type="dxa"/>
            <w:vAlign w:val="center"/>
          </w:tcPr>
          <w:p>
            <w:pPr>
              <w:spacing w:line="700" w:lineRule="exact"/>
              <w:jc w:val="right"/>
              <w:rPr>
                <w:rFonts w:ascii="Calibri" w:hAnsi="Calibri" w:eastAsia="楷体"/>
                <w:kern w:val="0"/>
                <w:szCs w:val="32"/>
              </w:rPr>
            </w:pPr>
          </w:p>
        </w:tc>
        <w:tc>
          <w:tcPr>
            <w:tcW w:w="459" w:type="dxa"/>
            <w:vAlign w:val="center"/>
          </w:tcPr>
          <w:p>
            <w:pPr>
              <w:spacing w:line="700" w:lineRule="exact"/>
              <w:jc w:val="right"/>
              <w:rPr>
                <w:rFonts w:ascii="Calibri" w:hAnsi="Calibri" w:eastAsia="楷体"/>
                <w:kern w:val="0"/>
                <w:szCs w:val="32"/>
              </w:rPr>
            </w:pPr>
          </w:p>
        </w:tc>
        <w:tc>
          <w:tcPr>
            <w:tcW w:w="445" w:type="dxa"/>
            <w:vAlign w:val="center"/>
          </w:tcPr>
          <w:p>
            <w:pPr>
              <w:spacing w:line="700" w:lineRule="exact"/>
              <w:jc w:val="right"/>
              <w:rPr>
                <w:rFonts w:ascii="Calibri" w:hAnsi="Calibri" w:eastAsia="楷体"/>
                <w:kern w:val="0"/>
                <w:szCs w:val="32"/>
              </w:rPr>
            </w:pPr>
          </w:p>
        </w:tc>
        <w:tc>
          <w:tcPr>
            <w:tcW w:w="472" w:type="dxa"/>
            <w:vAlign w:val="center"/>
          </w:tcPr>
          <w:p>
            <w:pPr>
              <w:spacing w:line="700" w:lineRule="exact"/>
              <w:jc w:val="right"/>
              <w:rPr>
                <w:rFonts w:ascii="Calibri" w:hAnsi="Calibri" w:eastAsia="楷体"/>
                <w:kern w:val="0"/>
                <w:szCs w:val="32"/>
              </w:rPr>
            </w:pPr>
          </w:p>
        </w:tc>
        <w:tc>
          <w:tcPr>
            <w:tcW w:w="650" w:type="dxa"/>
            <w:vAlign w:val="center"/>
          </w:tcPr>
          <w:p>
            <w:pPr>
              <w:keepNext w:val="0"/>
              <w:keepLines w:val="0"/>
              <w:widowControl/>
              <w:suppressLineNumbers w:val="0"/>
              <w:jc w:val="right"/>
              <w:textAlignment w:val="center"/>
              <w:rPr>
                <w:rFonts w:ascii="Calibri" w:hAnsi="Calibri" w:eastAsia="楷体"/>
                <w:kern w:val="0"/>
                <w:szCs w:val="32"/>
              </w:rPr>
            </w:pPr>
          </w:p>
        </w:tc>
        <w:tc>
          <w:tcPr>
            <w:tcW w:w="384" w:type="dxa"/>
            <w:vAlign w:val="center"/>
          </w:tcPr>
          <w:p>
            <w:pPr>
              <w:spacing w:line="700" w:lineRule="exact"/>
              <w:jc w:val="right"/>
              <w:rPr>
                <w:rFonts w:ascii="Calibri" w:hAnsi="Calibri" w:eastAsia="楷体"/>
                <w:kern w:val="0"/>
                <w:szCs w:val="32"/>
              </w:rPr>
            </w:pPr>
          </w:p>
        </w:tc>
        <w:tc>
          <w:tcPr>
            <w:tcW w:w="598" w:type="dxa"/>
            <w:vAlign w:val="center"/>
          </w:tcPr>
          <w:p>
            <w:pPr>
              <w:spacing w:line="700" w:lineRule="exact"/>
              <w:jc w:val="right"/>
              <w:rPr>
                <w:rFonts w:ascii="Calibri" w:hAnsi="Calibri" w:eastAsia="楷体"/>
                <w:kern w:val="0"/>
                <w:szCs w:val="32"/>
              </w:rPr>
            </w:pPr>
          </w:p>
        </w:tc>
        <w:tc>
          <w:tcPr>
            <w:tcW w:w="592" w:type="dxa"/>
            <w:vAlign w:val="center"/>
          </w:tcPr>
          <w:p>
            <w:pPr>
              <w:spacing w:line="700" w:lineRule="exact"/>
              <w:jc w:val="right"/>
              <w:rPr>
                <w:rFonts w:ascii="Calibri" w:hAnsi="Calibri" w:eastAsia="楷体"/>
                <w:kern w:val="0"/>
                <w:szCs w:val="32"/>
              </w:rPr>
            </w:pPr>
          </w:p>
        </w:tc>
        <w:tc>
          <w:tcPr>
            <w:tcW w:w="534" w:type="dxa"/>
            <w:vAlign w:val="center"/>
          </w:tcPr>
          <w:p>
            <w:pPr>
              <w:spacing w:line="700" w:lineRule="exact"/>
              <w:jc w:val="right"/>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29" w:type="dxa"/>
            <w:vAlign w:val="center"/>
          </w:tcPr>
          <w:p>
            <w:pPr>
              <w:keepNext w:val="0"/>
              <w:keepLines w:val="0"/>
              <w:widowControl/>
              <w:suppressLineNumbers w:val="0"/>
              <w:jc w:val="left"/>
              <w:textAlignment w:val="center"/>
              <w:rPr>
                <w:rFonts w:ascii="Calibri" w:hAnsi="Calibri" w:eastAsia="楷体"/>
                <w:kern w:val="0"/>
                <w:szCs w:val="32"/>
              </w:rPr>
            </w:pPr>
          </w:p>
        </w:tc>
        <w:tc>
          <w:tcPr>
            <w:tcW w:w="876" w:type="dxa"/>
            <w:vAlign w:val="center"/>
          </w:tcPr>
          <w:p>
            <w:pPr>
              <w:keepNext w:val="0"/>
              <w:keepLines w:val="0"/>
              <w:widowControl/>
              <w:suppressLineNumbers w:val="0"/>
              <w:jc w:val="left"/>
              <w:textAlignment w:val="center"/>
              <w:rPr>
                <w:rFonts w:ascii="Calibri" w:hAnsi="Calibri" w:eastAsia="楷体"/>
                <w:kern w:val="0"/>
                <w:szCs w:val="32"/>
                <w:lang w:val="en-US"/>
              </w:rPr>
            </w:pPr>
            <w:r>
              <w:rPr>
                <w:rFonts w:hint="eastAsia" w:ascii="宋体" w:hAnsi="宋体" w:eastAsia="宋体" w:cs="宋体"/>
                <w:i w:val="0"/>
                <w:color w:val="000000"/>
                <w:kern w:val="0"/>
                <w:sz w:val="20"/>
                <w:szCs w:val="20"/>
                <w:u w:val="none"/>
                <w:lang w:val="en-US" w:eastAsia="zh-CN" w:bidi="ar"/>
              </w:rPr>
              <w:t>专项统计业务</w:t>
            </w:r>
          </w:p>
        </w:tc>
        <w:tc>
          <w:tcPr>
            <w:tcW w:w="1080" w:type="dxa"/>
            <w:vAlign w:val="center"/>
          </w:tcPr>
          <w:p>
            <w:pPr>
              <w:jc w:val="left"/>
              <w:rPr>
                <w:rFonts w:ascii="Calibri" w:hAnsi="Calibri" w:eastAsia="楷体"/>
                <w:kern w:val="0"/>
                <w:szCs w:val="32"/>
              </w:rPr>
            </w:pPr>
          </w:p>
        </w:tc>
        <w:tc>
          <w:tcPr>
            <w:tcW w:w="876" w:type="dxa"/>
            <w:gridSpan w:val="3"/>
            <w:vAlign w:val="center"/>
          </w:tcPr>
          <w:p>
            <w:pPr>
              <w:jc w:val="left"/>
              <w:rPr>
                <w:rFonts w:ascii="Calibri" w:hAnsi="Calibri" w:eastAsia="楷体"/>
                <w:kern w:val="0"/>
                <w:szCs w:val="32"/>
              </w:rPr>
            </w:pPr>
          </w:p>
        </w:tc>
        <w:tc>
          <w:tcPr>
            <w:tcW w:w="836" w:type="dxa"/>
            <w:vAlign w:val="center"/>
          </w:tcPr>
          <w:p>
            <w:pPr>
              <w:keepNext w:val="0"/>
              <w:keepLines w:val="0"/>
              <w:widowControl/>
              <w:suppressLineNumbers w:val="0"/>
              <w:jc w:val="right"/>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28.95</w:t>
            </w:r>
          </w:p>
        </w:tc>
        <w:tc>
          <w:tcPr>
            <w:tcW w:w="738" w:type="dxa"/>
            <w:vAlign w:val="center"/>
          </w:tcPr>
          <w:p>
            <w:pPr>
              <w:keepNext w:val="0"/>
              <w:keepLines w:val="0"/>
              <w:widowControl/>
              <w:suppressLineNumbers w:val="0"/>
              <w:jc w:val="right"/>
              <w:textAlignment w:val="center"/>
              <w:rPr>
                <w:rFonts w:ascii="Calibri" w:hAnsi="Calibri" w:eastAsia="楷体"/>
                <w:kern w:val="0"/>
                <w:szCs w:val="32"/>
              </w:rPr>
            </w:pPr>
            <w:r>
              <w:rPr>
                <w:rFonts w:hint="eastAsia" w:ascii="Times New Roman" w:hAnsi="Times New Roman" w:eastAsia="宋体" w:cs="Times New Roman"/>
                <w:i w:val="0"/>
                <w:color w:val="000000"/>
                <w:kern w:val="0"/>
                <w:sz w:val="20"/>
                <w:szCs w:val="20"/>
                <w:u w:val="none"/>
                <w:lang w:val="en-US" w:eastAsia="zh-CN" w:bidi="ar"/>
              </w:rPr>
              <w:t>28.95</w:t>
            </w:r>
          </w:p>
        </w:tc>
        <w:tc>
          <w:tcPr>
            <w:tcW w:w="560" w:type="dxa"/>
            <w:vAlign w:val="center"/>
          </w:tcPr>
          <w:p>
            <w:pPr>
              <w:spacing w:line="700" w:lineRule="exact"/>
              <w:jc w:val="right"/>
              <w:rPr>
                <w:rFonts w:ascii="Calibri" w:hAnsi="Calibri" w:eastAsia="楷体"/>
                <w:kern w:val="0"/>
                <w:szCs w:val="32"/>
              </w:rPr>
            </w:pPr>
          </w:p>
        </w:tc>
        <w:tc>
          <w:tcPr>
            <w:tcW w:w="459" w:type="dxa"/>
            <w:vAlign w:val="center"/>
          </w:tcPr>
          <w:p>
            <w:pPr>
              <w:spacing w:line="700" w:lineRule="exact"/>
              <w:jc w:val="right"/>
              <w:rPr>
                <w:rFonts w:ascii="Calibri" w:hAnsi="Calibri" w:eastAsia="楷体"/>
                <w:kern w:val="0"/>
                <w:szCs w:val="32"/>
              </w:rPr>
            </w:pPr>
          </w:p>
        </w:tc>
        <w:tc>
          <w:tcPr>
            <w:tcW w:w="445" w:type="dxa"/>
            <w:vAlign w:val="center"/>
          </w:tcPr>
          <w:p>
            <w:pPr>
              <w:spacing w:line="700" w:lineRule="exact"/>
              <w:jc w:val="right"/>
              <w:rPr>
                <w:rFonts w:ascii="Calibri" w:hAnsi="Calibri" w:eastAsia="楷体"/>
                <w:kern w:val="0"/>
                <w:szCs w:val="32"/>
              </w:rPr>
            </w:pPr>
          </w:p>
        </w:tc>
        <w:tc>
          <w:tcPr>
            <w:tcW w:w="472" w:type="dxa"/>
            <w:vAlign w:val="center"/>
          </w:tcPr>
          <w:p>
            <w:pPr>
              <w:spacing w:line="700" w:lineRule="exact"/>
              <w:jc w:val="right"/>
              <w:rPr>
                <w:rFonts w:ascii="Calibri" w:hAnsi="Calibri" w:eastAsia="楷体"/>
                <w:kern w:val="0"/>
                <w:szCs w:val="32"/>
              </w:rPr>
            </w:pPr>
          </w:p>
        </w:tc>
        <w:tc>
          <w:tcPr>
            <w:tcW w:w="650" w:type="dxa"/>
            <w:vAlign w:val="center"/>
          </w:tcPr>
          <w:p>
            <w:pPr>
              <w:keepNext w:val="0"/>
              <w:keepLines w:val="0"/>
              <w:widowControl/>
              <w:suppressLineNumbers w:val="0"/>
              <w:jc w:val="right"/>
              <w:textAlignment w:val="center"/>
              <w:rPr>
                <w:rFonts w:ascii="Calibri" w:hAnsi="Calibri" w:eastAsia="楷体"/>
                <w:kern w:val="0"/>
                <w:szCs w:val="32"/>
              </w:rPr>
            </w:pPr>
          </w:p>
        </w:tc>
        <w:tc>
          <w:tcPr>
            <w:tcW w:w="384" w:type="dxa"/>
            <w:vAlign w:val="center"/>
          </w:tcPr>
          <w:p>
            <w:pPr>
              <w:spacing w:line="700" w:lineRule="exact"/>
              <w:jc w:val="right"/>
              <w:rPr>
                <w:rFonts w:ascii="Calibri" w:hAnsi="Calibri" w:eastAsia="楷体"/>
                <w:kern w:val="0"/>
                <w:szCs w:val="32"/>
              </w:rPr>
            </w:pPr>
          </w:p>
        </w:tc>
        <w:tc>
          <w:tcPr>
            <w:tcW w:w="598" w:type="dxa"/>
            <w:vAlign w:val="center"/>
          </w:tcPr>
          <w:p>
            <w:pPr>
              <w:spacing w:line="700" w:lineRule="exact"/>
              <w:jc w:val="right"/>
              <w:rPr>
                <w:rFonts w:ascii="Calibri" w:hAnsi="Calibri" w:eastAsia="楷体"/>
                <w:kern w:val="0"/>
                <w:szCs w:val="32"/>
              </w:rPr>
            </w:pPr>
          </w:p>
        </w:tc>
        <w:tc>
          <w:tcPr>
            <w:tcW w:w="592" w:type="dxa"/>
            <w:vAlign w:val="center"/>
          </w:tcPr>
          <w:p>
            <w:pPr>
              <w:spacing w:line="700" w:lineRule="exact"/>
              <w:jc w:val="right"/>
              <w:rPr>
                <w:rFonts w:ascii="Calibri" w:hAnsi="Calibri" w:eastAsia="楷体"/>
                <w:kern w:val="0"/>
                <w:szCs w:val="32"/>
              </w:rPr>
            </w:pPr>
          </w:p>
        </w:tc>
        <w:tc>
          <w:tcPr>
            <w:tcW w:w="534" w:type="dxa"/>
            <w:vAlign w:val="center"/>
          </w:tcPr>
          <w:p>
            <w:pPr>
              <w:spacing w:line="700" w:lineRule="exact"/>
              <w:jc w:val="right"/>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29" w:type="dxa"/>
            <w:vAlign w:val="center"/>
          </w:tcPr>
          <w:p>
            <w:pPr>
              <w:jc w:val="left"/>
              <w:rPr>
                <w:rFonts w:ascii="Calibri" w:hAnsi="Calibri" w:eastAsia="楷体"/>
                <w:kern w:val="0"/>
                <w:szCs w:val="32"/>
              </w:rPr>
            </w:pPr>
          </w:p>
        </w:tc>
        <w:tc>
          <w:tcPr>
            <w:tcW w:w="876" w:type="dxa"/>
            <w:vAlign w:val="center"/>
          </w:tcPr>
          <w:p>
            <w:pPr>
              <w:jc w:val="left"/>
              <w:rPr>
                <w:rFonts w:ascii="Calibri" w:hAnsi="Calibri" w:eastAsia="楷体"/>
                <w:kern w:val="0"/>
                <w:szCs w:val="32"/>
              </w:rPr>
            </w:pPr>
          </w:p>
        </w:tc>
        <w:tc>
          <w:tcPr>
            <w:tcW w:w="1080" w:type="dxa"/>
            <w:vAlign w:val="center"/>
          </w:tcPr>
          <w:p>
            <w:pPr>
              <w:keepNext w:val="0"/>
              <w:keepLines w:val="0"/>
              <w:widowControl/>
              <w:suppressLineNumbers w:val="0"/>
              <w:jc w:val="left"/>
              <w:textAlignment w:val="center"/>
              <w:rPr>
                <w:rFonts w:ascii="Calibri" w:hAnsi="Calibri" w:eastAsia="楷体"/>
                <w:kern w:val="0"/>
                <w:szCs w:val="32"/>
                <w:lang w:val="en-US"/>
              </w:rPr>
            </w:pPr>
            <w:r>
              <w:rPr>
                <w:rFonts w:hint="eastAsia" w:ascii="宋体" w:hAnsi="宋体" w:eastAsia="宋体" w:cs="宋体"/>
                <w:i w:val="0"/>
                <w:color w:val="000000"/>
                <w:kern w:val="0"/>
                <w:sz w:val="20"/>
                <w:szCs w:val="20"/>
                <w:u w:val="none"/>
                <w:lang w:val="en-US" w:eastAsia="zh-CN" w:bidi="ar"/>
              </w:rPr>
              <w:t>综合统计业务费</w:t>
            </w:r>
          </w:p>
        </w:tc>
        <w:tc>
          <w:tcPr>
            <w:tcW w:w="876" w:type="dxa"/>
            <w:gridSpan w:val="3"/>
            <w:vAlign w:val="center"/>
          </w:tcPr>
          <w:p>
            <w:pPr>
              <w:keepNext w:val="0"/>
              <w:keepLines w:val="0"/>
              <w:widowControl/>
              <w:suppressLineNumbers w:val="0"/>
              <w:jc w:val="left"/>
              <w:textAlignment w:val="center"/>
              <w:rPr>
                <w:rFonts w:ascii="Calibri" w:hAnsi="Calibri" w:eastAsia="楷体"/>
                <w:kern w:val="0"/>
                <w:szCs w:val="32"/>
              </w:rPr>
            </w:pPr>
            <w:r>
              <w:rPr>
                <w:rFonts w:hint="eastAsia" w:ascii="宋体" w:hAnsi="宋体" w:eastAsia="宋体" w:cs="宋体"/>
                <w:i w:val="0"/>
                <w:color w:val="000000"/>
                <w:kern w:val="0"/>
                <w:sz w:val="20"/>
                <w:szCs w:val="20"/>
                <w:u w:val="none"/>
                <w:lang w:val="en-US" w:eastAsia="zh-CN" w:bidi="ar"/>
              </w:rPr>
              <w:t>龙井市统计局</w:t>
            </w:r>
          </w:p>
        </w:tc>
        <w:tc>
          <w:tcPr>
            <w:tcW w:w="836" w:type="dxa"/>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28.95</w:t>
            </w:r>
          </w:p>
        </w:tc>
        <w:tc>
          <w:tcPr>
            <w:tcW w:w="738" w:type="dxa"/>
            <w:vAlign w:val="center"/>
          </w:tcPr>
          <w:p>
            <w:pPr>
              <w:keepNext w:val="0"/>
              <w:keepLines w:val="0"/>
              <w:widowControl/>
              <w:suppressLineNumbers w:val="0"/>
              <w:jc w:val="right"/>
              <w:textAlignment w:val="center"/>
              <w:rPr>
                <w:rFonts w:ascii="Calibri" w:hAnsi="Calibri" w:eastAsia="楷体"/>
                <w:kern w:val="0"/>
                <w:szCs w:val="32"/>
              </w:rPr>
            </w:pPr>
            <w:r>
              <w:rPr>
                <w:rFonts w:hint="eastAsia" w:eastAsia="宋体" w:cs="Times New Roman"/>
                <w:i w:val="0"/>
                <w:color w:val="000000"/>
                <w:kern w:val="0"/>
                <w:sz w:val="20"/>
                <w:szCs w:val="20"/>
                <w:u w:val="none"/>
                <w:lang w:val="en-US" w:eastAsia="zh-CN" w:bidi="ar"/>
              </w:rPr>
              <w:t>28.95</w:t>
            </w:r>
          </w:p>
        </w:tc>
        <w:tc>
          <w:tcPr>
            <w:tcW w:w="560" w:type="dxa"/>
            <w:vAlign w:val="center"/>
          </w:tcPr>
          <w:p>
            <w:pPr>
              <w:spacing w:line="700" w:lineRule="exact"/>
              <w:jc w:val="right"/>
              <w:rPr>
                <w:rFonts w:ascii="Calibri" w:hAnsi="Calibri" w:eastAsia="楷体"/>
                <w:kern w:val="0"/>
                <w:szCs w:val="32"/>
              </w:rPr>
            </w:pPr>
          </w:p>
        </w:tc>
        <w:tc>
          <w:tcPr>
            <w:tcW w:w="459" w:type="dxa"/>
            <w:vAlign w:val="center"/>
          </w:tcPr>
          <w:p>
            <w:pPr>
              <w:spacing w:line="700" w:lineRule="exact"/>
              <w:jc w:val="right"/>
              <w:rPr>
                <w:rFonts w:ascii="Calibri" w:hAnsi="Calibri" w:eastAsia="楷体"/>
                <w:kern w:val="0"/>
                <w:szCs w:val="32"/>
              </w:rPr>
            </w:pPr>
          </w:p>
        </w:tc>
        <w:tc>
          <w:tcPr>
            <w:tcW w:w="445" w:type="dxa"/>
            <w:vAlign w:val="center"/>
          </w:tcPr>
          <w:p>
            <w:pPr>
              <w:spacing w:line="700" w:lineRule="exact"/>
              <w:jc w:val="right"/>
              <w:rPr>
                <w:rFonts w:ascii="Calibri" w:hAnsi="Calibri" w:eastAsia="楷体"/>
                <w:kern w:val="0"/>
                <w:szCs w:val="32"/>
              </w:rPr>
            </w:pPr>
          </w:p>
        </w:tc>
        <w:tc>
          <w:tcPr>
            <w:tcW w:w="472" w:type="dxa"/>
            <w:vAlign w:val="center"/>
          </w:tcPr>
          <w:p>
            <w:pPr>
              <w:spacing w:line="700" w:lineRule="exact"/>
              <w:jc w:val="right"/>
              <w:rPr>
                <w:rFonts w:ascii="Calibri" w:hAnsi="Calibri" w:eastAsia="楷体"/>
                <w:kern w:val="0"/>
                <w:szCs w:val="32"/>
              </w:rPr>
            </w:pPr>
          </w:p>
        </w:tc>
        <w:tc>
          <w:tcPr>
            <w:tcW w:w="650" w:type="dxa"/>
            <w:vAlign w:val="center"/>
          </w:tcPr>
          <w:p>
            <w:pPr>
              <w:keepNext w:val="0"/>
              <w:keepLines w:val="0"/>
              <w:widowControl/>
              <w:suppressLineNumbers w:val="0"/>
              <w:jc w:val="right"/>
              <w:textAlignment w:val="center"/>
              <w:rPr>
                <w:rFonts w:ascii="Calibri" w:hAnsi="Calibri" w:eastAsia="楷体"/>
                <w:kern w:val="0"/>
                <w:szCs w:val="32"/>
              </w:rPr>
            </w:pPr>
          </w:p>
        </w:tc>
        <w:tc>
          <w:tcPr>
            <w:tcW w:w="384" w:type="dxa"/>
            <w:vAlign w:val="center"/>
          </w:tcPr>
          <w:p>
            <w:pPr>
              <w:spacing w:line="700" w:lineRule="exact"/>
              <w:jc w:val="right"/>
              <w:rPr>
                <w:rFonts w:ascii="Calibri" w:hAnsi="Calibri" w:eastAsia="楷体"/>
                <w:kern w:val="0"/>
                <w:szCs w:val="32"/>
              </w:rPr>
            </w:pPr>
          </w:p>
        </w:tc>
        <w:tc>
          <w:tcPr>
            <w:tcW w:w="598" w:type="dxa"/>
            <w:vAlign w:val="center"/>
          </w:tcPr>
          <w:p>
            <w:pPr>
              <w:spacing w:line="700" w:lineRule="exact"/>
              <w:jc w:val="right"/>
              <w:rPr>
                <w:rFonts w:ascii="Calibri" w:hAnsi="Calibri" w:eastAsia="楷体"/>
                <w:kern w:val="0"/>
                <w:szCs w:val="32"/>
              </w:rPr>
            </w:pPr>
          </w:p>
        </w:tc>
        <w:tc>
          <w:tcPr>
            <w:tcW w:w="592" w:type="dxa"/>
            <w:vAlign w:val="center"/>
          </w:tcPr>
          <w:p>
            <w:pPr>
              <w:spacing w:line="700" w:lineRule="exact"/>
              <w:jc w:val="right"/>
              <w:rPr>
                <w:rFonts w:ascii="Calibri" w:hAnsi="Calibri" w:eastAsia="楷体"/>
                <w:kern w:val="0"/>
                <w:szCs w:val="32"/>
              </w:rPr>
            </w:pPr>
          </w:p>
        </w:tc>
        <w:tc>
          <w:tcPr>
            <w:tcW w:w="534" w:type="dxa"/>
            <w:vAlign w:val="center"/>
          </w:tcPr>
          <w:p>
            <w:pPr>
              <w:spacing w:line="700" w:lineRule="exact"/>
              <w:jc w:val="right"/>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29" w:type="dxa"/>
            <w:vAlign w:val="center"/>
          </w:tcPr>
          <w:p>
            <w:pPr>
              <w:keepNext w:val="0"/>
              <w:keepLines w:val="0"/>
              <w:widowControl/>
              <w:suppressLineNumbers w:val="0"/>
              <w:jc w:val="left"/>
              <w:textAlignment w:val="center"/>
              <w:rPr>
                <w:rFonts w:ascii="Calibri" w:hAnsi="Calibri" w:eastAsia="楷体"/>
                <w:kern w:val="0"/>
                <w:szCs w:val="32"/>
              </w:rPr>
            </w:pPr>
          </w:p>
        </w:tc>
        <w:tc>
          <w:tcPr>
            <w:tcW w:w="876" w:type="dxa"/>
            <w:vAlign w:val="center"/>
          </w:tcPr>
          <w:p>
            <w:pPr>
              <w:keepNext w:val="0"/>
              <w:keepLines w:val="0"/>
              <w:widowControl/>
              <w:suppressLineNumbers w:val="0"/>
              <w:jc w:val="left"/>
              <w:textAlignment w:val="center"/>
              <w:rPr>
                <w:rFonts w:ascii="Calibri" w:hAnsi="Calibri" w:eastAsia="楷体"/>
                <w:kern w:val="0"/>
                <w:szCs w:val="32"/>
              </w:rPr>
            </w:pPr>
            <w:r>
              <w:rPr>
                <w:rFonts w:hint="eastAsia" w:ascii="宋体" w:hAnsi="宋体" w:eastAsia="宋体" w:cs="宋体"/>
                <w:i w:val="0"/>
                <w:color w:val="000000"/>
                <w:kern w:val="0"/>
                <w:sz w:val="20"/>
                <w:szCs w:val="20"/>
                <w:u w:val="none"/>
                <w:lang w:val="en-US" w:eastAsia="zh-CN" w:bidi="ar"/>
              </w:rPr>
              <w:t>统计抽样调查</w:t>
            </w:r>
          </w:p>
        </w:tc>
        <w:tc>
          <w:tcPr>
            <w:tcW w:w="1080" w:type="dxa"/>
            <w:vAlign w:val="center"/>
          </w:tcPr>
          <w:p>
            <w:pPr>
              <w:jc w:val="left"/>
              <w:rPr>
                <w:rFonts w:ascii="Calibri" w:hAnsi="Calibri" w:eastAsia="楷体"/>
                <w:kern w:val="0"/>
                <w:szCs w:val="32"/>
              </w:rPr>
            </w:pPr>
          </w:p>
        </w:tc>
        <w:tc>
          <w:tcPr>
            <w:tcW w:w="876" w:type="dxa"/>
            <w:gridSpan w:val="3"/>
            <w:vAlign w:val="center"/>
          </w:tcPr>
          <w:p>
            <w:pPr>
              <w:jc w:val="left"/>
              <w:rPr>
                <w:rFonts w:ascii="Calibri" w:hAnsi="Calibri" w:eastAsia="楷体"/>
                <w:kern w:val="0"/>
                <w:szCs w:val="32"/>
              </w:rPr>
            </w:pPr>
          </w:p>
        </w:tc>
        <w:tc>
          <w:tcPr>
            <w:tcW w:w="836" w:type="dxa"/>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20.00</w:t>
            </w:r>
          </w:p>
        </w:tc>
        <w:tc>
          <w:tcPr>
            <w:tcW w:w="738" w:type="dxa"/>
            <w:vAlign w:val="center"/>
          </w:tcPr>
          <w:p>
            <w:pPr>
              <w:keepNext w:val="0"/>
              <w:keepLines w:val="0"/>
              <w:widowControl/>
              <w:suppressLineNumbers w:val="0"/>
              <w:jc w:val="right"/>
              <w:textAlignment w:val="center"/>
              <w:rPr>
                <w:rFonts w:ascii="Calibri" w:hAnsi="Calibri" w:eastAsia="楷体"/>
                <w:kern w:val="0"/>
                <w:szCs w:val="32"/>
              </w:rPr>
            </w:pPr>
            <w:r>
              <w:rPr>
                <w:rFonts w:hint="eastAsia" w:eastAsia="宋体" w:cs="Times New Roman"/>
                <w:i w:val="0"/>
                <w:color w:val="000000"/>
                <w:kern w:val="0"/>
                <w:sz w:val="20"/>
                <w:szCs w:val="20"/>
                <w:u w:val="none"/>
                <w:lang w:val="en-US" w:eastAsia="zh-CN" w:bidi="ar"/>
              </w:rPr>
              <w:t>20.00</w:t>
            </w:r>
          </w:p>
        </w:tc>
        <w:tc>
          <w:tcPr>
            <w:tcW w:w="560" w:type="dxa"/>
            <w:vAlign w:val="center"/>
          </w:tcPr>
          <w:p>
            <w:pPr>
              <w:spacing w:line="700" w:lineRule="exact"/>
              <w:jc w:val="right"/>
              <w:rPr>
                <w:rFonts w:ascii="Calibri" w:hAnsi="Calibri" w:eastAsia="楷体"/>
                <w:kern w:val="0"/>
                <w:szCs w:val="32"/>
              </w:rPr>
            </w:pPr>
          </w:p>
        </w:tc>
        <w:tc>
          <w:tcPr>
            <w:tcW w:w="459" w:type="dxa"/>
            <w:vAlign w:val="center"/>
          </w:tcPr>
          <w:p>
            <w:pPr>
              <w:spacing w:line="700" w:lineRule="exact"/>
              <w:jc w:val="right"/>
              <w:rPr>
                <w:rFonts w:ascii="Calibri" w:hAnsi="Calibri" w:eastAsia="楷体"/>
                <w:kern w:val="0"/>
                <w:szCs w:val="32"/>
              </w:rPr>
            </w:pPr>
          </w:p>
        </w:tc>
        <w:tc>
          <w:tcPr>
            <w:tcW w:w="445" w:type="dxa"/>
            <w:vAlign w:val="center"/>
          </w:tcPr>
          <w:p>
            <w:pPr>
              <w:spacing w:line="700" w:lineRule="exact"/>
              <w:jc w:val="right"/>
              <w:rPr>
                <w:rFonts w:ascii="Calibri" w:hAnsi="Calibri" w:eastAsia="楷体"/>
                <w:kern w:val="0"/>
                <w:szCs w:val="32"/>
              </w:rPr>
            </w:pPr>
          </w:p>
        </w:tc>
        <w:tc>
          <w:tcPr>
            <w:tcW w:w="472" w:type="dxa"/>
            <w:vAlign w:val="center"/>
          </w:tcPr>
          <w:p>
            <w:pPr>
              <w:spacing w:line="700" w:lineRule="exact"/>
              <w:jc w:val="right"/>
              <w:rPr>
                <w:rFonts w:ascii="Calibri" w:hAnsi="Calibri" w:eastAsia="楷体"/>
                <w:kern w:val="0"/>
                <w:szCs w:val="32"/>
              </w:rPr>
            </w:pPr>
          </w:p>
        </w:tc>
        <w:tc>
          <w:tcPr>
            <w:tcW w:w="650" w:type="dxa"/>
            <w:vAlign w:val="center"/>
          </w:tcPr>
          <w:p>
            <w:pPr>
              <w:spacing w:line="700" w:lineRule="exact"/>
              <w:jc w:val="right"/>
              <w:rPr>
                <w:rFonts w:ascii="Calibri" w:hAnsi="Calibri" w:eastAsia="楷体"/>
                <w:kern w:val="0"/>
                <w:szCs w:val="32"/>
              </w:rPr>
            </w:pPr>
          </w:p>
        </w:tc>
        <w:tc>
          <w:tcPr>
            <w:tcW w:w="384" w:type="dxa"/>
            <w:vAlign w:val="center"/>
          </w:tcPr>
          <w:p>
            <w:pPr>
              <w:spacing w:line="700" w:lineRule="exact"/>
              <w:jc w:val="right"/>
              <w:rPr>
                <w:rFonts w:ascii="Calibri" w:hAnsi="Calibri" w:eastAsia="楷体"/>
                <w:kern w:val="0"/>
                <w:szCs w:val="32"/>
              </w:rPr>
            </w:pPr>
          </w:p>
        </w:tc>
        <w:tc>
          <w:tcPr>
            <w:tcW w:w="598" w:type="dxa"/>
            <w:vAlign w:val="center"/>
          </w:tcPr>
          <w:p>
            <w:pPr>
              <w:spacing w:line="700" w:lineRule="exact"/>
              <w:jc w:val="right"/>
              <w:rPr>
                <w:rFonts w:ascii="Calibri" w:hAnsi="Calibri" w:eastAsia="楷体"/>
                <w:kern w:val="0"/>
                <w:szCs w:val="32"/>
              </w:rPr>
            </w:pPr>
          </w:p>
        </w:tc>
        <w:tc>
          <w:tcPr>
            <w:tcW w:w="592" w:type="dxa"/>
            <w:vAlign w:val="center"/>
          </w:tcPr>
          <w:p>
            <w:pPr>
              <w:spacing w:line="700" w:lineRule="exact"/>
              <w:jc w:val="right"/>
              <w:rPr>
                <w:rFonts w:ascii="Calibri" w:hAnsi="Calibri" w:eastAsia="楷体"/>
                <w:kern w:val="0"/>
                <w:szCs w:val="32"/>
              </w:rPr>
            </w:pPr>
          </w:p>
        </w:tc>
        <w:tc>
          <w:tcPr>
            <w:tcW w:w="534" w:type="dxa"/>
            <w:vAlign w:val="center"/>
          </w:tcPr>
          <w:p>
            <w:pPr>
              <w:spacing w:line="700" w:lineRule="exact"/>
              <w:jc w:val="right"/>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29" w:type="dxa"/>
            <w:vAlign w:val="center"/>
          </w:tcPr>
          <w:p>
            <w:pPr>
              <w:autoSpaceDN w:val="0"/>
              <w:jc w:val="center"/>
              <w:textAlignment w:val="center"/>
              <w:rPr>
                <w:rFonts w:ascii="Calibri" w:hAnsi="Calibri" w:eastAsia="楷体"/>
                <w:kern w:val="0"/>
                <w:szCs w:val="32"/>
              </w:rPr>
            </w:pPr>
          </w:p>
        </w:tc>
        <w:tc>
          <w:tcPr>
            <w:tcW w:w="876" w:type="dxa"/>
            <w:vAlign w:val="center"/>
          </w:tcPr>
          <w:p>
            <w:pPr>
              <w:jc w:val="left"/>
              <w:rPr>
                <w:rFonts w:ascii="Calibri" w:hAnsi="Calibri" w:eastAsia="楷体"/>
                <w:kern w:val="0"/>
                <w:szCs w:val="32"/>
              </w:rPr>
            </w:pPr>
          </w:p>
        </w:tc>
        <w:tc>
          <w:tcPr>
            <w:tcW w:w="1080" w:type="dxa"/>
            <w:vAlign w:val="center"/>
          </w:tcPr>
          <w:p>
            <w:pPr>
              <w:keepNext w:val="0"/>
              <w:keepLines w:val="0"/>
              <w:widowControl/>
              <w:suppressLineNumbers w:val="0"/>
              <w:jc w:val="left"/>
              <w:textAlignment w:val="center"/>
              <w:rPr>
                <w:rFonts w:ascii="Calibri" w:hAnsi="Calibri" w:eastAsia="楷体"/>
                <w:kern w:val="0"/>
                <w:szCs w:val="32"/>
                <w:lang w:val="en-US"/>
              </w:rPr>
            </w:pPr>
            <w:r>
              <w:rPr>
                <w:rFonts w:hint="eastAsia" w:ascii="宋体" w:hAnsi="宋体" w:eastAsia="宋体" w:cs="宋体"/>
                <w:i w:val="0"/>
                <w:color w:val="000000"/>
                <w:kern w:val="0"/>
                <w:sz w:val="20"/>
                <w:szCs w:val="20"/>
                <w:u w:val="none"/>
                <w:lang w:val="en-US" w:eastAsia="zh-CN" w:bidi="ar"/>
              </w:rPr>
              <w:t>统计调查综合补助</w:t>
            </w:r>
          </w:p>
        </w:tc>
        <w:tc>
          <w:tcPr>
            <w:tcW w:w="876" w:type="dxa"/>
            <w:gridSpan w:val="3"/>
            <w:vAlign w:val="center"/>
          </w:tcPr>
          <w:p>
            <w:pPr>
              <w:keepNext w:val="0"/>
              <w:keepLines w:val="0"/>
              <w:widowControl/>
              <w:suppressLineNumbers w:val="0"/>
              <w:jc w:val="left"/>
              <w:textAlignment w:val="center"/>
              <w:rPr>
                <w:rFonts w:ascii="Calibri" w:hAnsi="Calibri" w:eastAsia="楷体"/>
                <w:kern w:val="0"/>
                <w:szCs w:val="32"/>
              </w:rPr>
            </w:pPr>
            <w:r>
              <w:rPr>
                <w:rFonts w:hint="eastAsia" w:ascii="宋体" w:hAnsi="宋体" w:eastAsia="宋体" w:cs="宋体"/>
                <w:i w:val="0"/>
                <w:color w:val="000000"/>
                <w:kern w:val="0"/>
                <w:sz w:val="20"/>
                <w:szCs w:val="20"/>
                <w:u w:val="none"/>
                <w:lang w:val="en-US" w:eastAsia="zh-CN" w:bidi="ar"/>
              </w:rPr>
              <w:t>龙井市统计局</w:t>
            </w:r>
          </w:p>
        </w:tc>
        <w:tc>
          <w:tcPr>
            <w:tcW w:w="836" w:type="dxa"/>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20.00</w:t>
            </w:r>
          </w:p>
        </w:tc>
        <w:tc>
          <w:tcPr>
            <w:tcW w:w="738" w:type="dxa"/>
            <w:vAlign w:val="center"/>
          </w:tcPr>
          <w:p>
            <w:pPr>
              <w:keepNext w:val="0"/>
              <w:keepLines w:val="0"/>
              <w:widowControl/>
              <w:suppressLineNumbers w:val="0"/>
              <w:jc w:val="right"/>
              <w:textAlignment w:val="center"/>
              <w:rPr>
                <w:rFonts w:ascii="Calibri" w:hAnsi="Calibri" w:eastAsia="楷体"/>
                <w:kern w:val="0"/>
                <w:szCs w:val="32"/>
              </w:rPr>
            </w:pPr>
            <w:r>
              <w:rPr>
                <w:rFonts w:hint="eastAsia" w:eastAsia="宋体" w:cs="Times New Roman"/>
                <w:i w:val="0"/>
                <w:color w:val="000000"/>
                <w:kern w:val="0"/>
                <w:sz w:val="20"/>
                <w:szCs w:val="20"/>
                <w:u w:val="none"/>
                <w:lang w:val="en-US" w:eastAsia="zh-CN" w:bidi="ar"/>
              </w:rPr>
              <w:t>20.00</w:t>
            </w:r>
          </w:p>
        </w:tc>
        <w:tc>
          <w:tcPr>
            <w:tcW w:w="560" w:type="dxa"/>
            <w:vAlign w:val="center"/>
          </w:tcPr>
          <w:p>
            <w:pPr>
              <w:spacing w:line="700" w:lineRule="exact"/>
              <w:jc w:val="right"/>
              <w:rPr>
                <w:rFonts w:ascii="Calibri" w:hAnsi="Calibri" w:eastAsia="楷体"/>
                <w:kern w:val="0"/>
                <w:szCs w:val="32"/>
              </w:rPr>
            </w:pPr>
          </w:p>
        </w:tc>
        <w:tc>
          <w:tcPr>
            <w:tcW w:w="459" w:type="dxa"/>
            <w:vAlign w:val="center"/>
          </w:tcPr>
          <w:p>
            <w:pPr>
              <w:spacing w:line="700" w:lineRule="exact"/>
              <w:jc w:val="right"/>
              <w:rPr>
                <w:rFonts w:ascii="Calibri" w:hAnsi="Calibri" w:eastAsia="楷体"/>
                <w:kern w:val="0"/>
                <w:szCs w:val="32"/>
              </w:rPr>
            </w:pPr>
          </w:p>
        </w:tc>
        <w:tc>
          <w:tcPr>
            <w:tcW w:w="445" w:type="dxa"/>
            <w:vAlign w:val="center"/>
          </w:tcPr>
          <w:p>
            <w:pPr>
              <w:spacing w:line="700" w:lineRule="exact"/>
              <w:jc w:val="right"/>
              <w:rPr>
                <w:rFonts w:ascii="Calibri" w:hAnsi="Calibri" w:eastAsia="楷体"/>
                <w:kern w:val="0"/>
                <w:szCs w:val="32"/>
              </w:rPr>
            </w:pPr>
          </w:p>
        </w:tc>
        <w:tc>
          <w:tcPr>
            <w:tcW w:w="472" w:type="dxa"/>
            <w:vAlign w:val="center"/>
          </w:tcPr>
          <w:p>
            <w:pPr>
              <w:spacing w:line="700" w:lineRule="exact"/>
              <w:jc w:val="right"/>
              <w:rPr>
                <w:rFonts w:ascii="Calibri" w:hAnsi="Calibri" w:eastAsia="楷体"/>
                <w:kern w:val="0"/>
                <w:szCs w:val="32"/>
              </w:rPr>
            </w:pPr>
          </w:p>
        </w:tc>
        <w:tc>
          <w:tcPr>
            <w:tcW w:w="650" w:type="dxa"/>
            <w:vAlign w:val="center"/>
          </w:tcPr>
          <w:p>
            <w:pPr>
              <w:spacing w:line="700" w:lineRule="exact"/>
              <w:jc w:val="right"/>
              <w:rPr>
                <w:rFonts w:ascii="Calibri" w:hAnsi="Calibri" w:eastAsia="楷体"/>
                <w:kern w:val="0"/>
                <w:szCs w:val="32"/>
              </w:rPr>
            </w:pPr>
          </w:p>
        </w:tc>
        <w:tc>
          <w:tcPr>
            <w:tcW w:w="384" w:type="dxa"/>
            <w:vAlign w:val="center"/>
          </w:tcPr>
          <w:p>
            <w:pPr>
              <w:spacing w:line="700" w:lineRule="exact"/>
              <w:jc w:val="right"/>
              <w:rPr>
                <w:rFonts w:ascii="Calibri" w:hAnsi="Calibri" w:eastAsia="楷体"/>
                <w:kern w:val="0"/>
                <w:szCs w:val="32"/>
              </w:rPr>
            </w:pPr>
          </w:p>
        </w:tc>
        <w:tc>
          <w:tcPr>
            <w:tcW w:w="598" w:type="dxa"/>
            <w:vAlign w:val="center"/>
          </w:tcPr>
          <w:p>
            <w:pPr>
              <w:spacing w:line="700" w:lineRule="exact"/>
              <w:jc w:val="right"/>
              <w:rPr>
                <w:rFonts w:ascii="Calibri" w:hAnsi="Calibri" w:eastAsia="楷体"/>
                <w:kern w:val="0"/>
                <w:szCs w:val="32"/>
              </w:rPr>
            </w:pPr>
          </w:p>
        </w:tc>
        <w:tc>
          <w:tcPr>
            <w:tcW w:w="592" w:type="dxa"/>
            <w:vAlign w:val="center"/>
          </w:tcPr>
          <w:p>
            <w:pPr>
              <w:spacing w:line="700" w:lineRule="exact"/>
              <w:jc w:val="right"/>
              <w:rPr>
                <w:rFonts w:ascii="Calibri" w:hAnsi="Calibri" w:eastAsia="楷体"/>
                <w:kern w:val="0"/>
                <w:szCs w:val="32"/>
              </w:rPr>
            </w:pPr>
          </w:p>
        </w:tc>
        <w:tc>
          <w:tcPr>
            <w:tcW w:w="534" w:type="dxa"/>
            <w:vAlign w:val="center"/>
          </w:tcPr>
          <w:p>
            <w:pPr>
              <w:spacing w:line="700" w:lineRule="exact"/>
              <w:jc w:val="right"/>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29"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76" w:type="dxa"/>
            <w:vAlign w:val="center"/>
          </w:tcPr>
          <w:p>
            <w:pPr>
              <w:autoSpaceDN w:val="0"/>
              <w:jc w:val="center"/>
              <w:textAlignment w:val="center"/>
              <w:rPr>
                <w:rFonts w:ascii="Calibri" w:hAnsi="Calibri" w:eastAsia="华文细黑"/>
                <w:color w:val="000000"/>
                <w:sz w:val="20"/>
                <w:szCs w:val="22"/>
              </w:rPr>
            </w:pPr>
          </w:p>
        </w:tc>
        <w:tc>
          <w:tcPr>
            <w:tcW w:w="1080" w:type="dxa"/>
            <w:vAlign w:val="center"/>
          </w:tcPr>
          <w:p>
            <w:pPr>
              <w:spacing w:line="700" w:lineRule="exact"/>
              <w:jc w:val="center"/>
              <w:rPr>
                <w:rFonts w:ascii="Calibri" w:hAnsi="Calibri" w:eastAsia="楷体"/>
                <w:kern w:val="0"/>
                <w:szCs w:val="32"/>
              </w:rPr>
            </w:pPr>
          </w:p>
        </w:tc>
        <w:tc>
          <w:tcPr>
            <w:tcW w:w="876" w:type="dxa"/>
            <w:gridSpan w:val="3"/>
            <w:vAlign w:val="center"/>
          </w:tcPr>
          <w:p>
            <w:pPr>
              <w:spacing w:line="700" w:lineRule="exact"/>
              <w:jc w:val="center"/>
              <w:rPr>
                <w:rFonts w:ascii="Calibri" w:hAnsi="Calibri" w:eastAsia="楷体"/>
                <w:kern w:val="0"/>
                <w:szCs w:val="32"/>
              </w:rPr>
            </w:pPr>
          </w:p>
        </w:tc>
        <w:tc>
          <w:tcPr>
            <w:tcW w:w="836" w:type="dxa"/>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48.95</w:t>
            </w:r>
          </w:p>
        </w:tc>
        <w:tc>
          <w:tcPr>
            <w:tcW w:w="738" w:type="dxa"/>
            <w:vAlign w:val="center"/>
          </w:tcPr>
          <w:p>
            <w:pPr>
              <w:keepNext w:val="0"/>
              <w:keepLines w:val="0"/>
              <w:widowControl/>
              <w:suppressLineNumbers w:val="0"/>
              <w:jc w:val="right"/>
              <w:textAlignment w:val="center"/>
              <w:rPr>
                <w:rFonts w:ascii="Calibri" w:hAnsi="Calibri" w:eastAsia="楷体"/>
                <w:kern w:val="0"/>
                <w:szCs w:val="32"/>
              </w:rPr>
            </w:pPr>
            <w:r>
              <w:rPr>
                <w:rFonts w:hint="eastAsia" w:eastAsia="宋体" w:cs="Times New Roman"/>
                <w:i w:val="0"/>
                <w:color w:val="000000"/>
                <w:kern w:val="0"/>
                <w:sz w:val="20"/>
                <w:szCs w:val="20"/>
                <w:u w:val="none"/>
                <w:lang w:val="en-US" w:eastAsia="zh-CN" w:bidi="ar"/>
              </w:rPr>
              <w:t>48.95</w:t>
            </w:r>
          </w:p>
        </w:tc>
        <w:tc>
          <w:tcPr>
            <w:tcW w:w="560" w:type="dxa"/>
            <w:vAlign w:val="center"/>
          </w:tcPr>
          <w:p>
            <w:pPr>
              <w:spacing w:line="700" w:lineRule="exact"/>
              <w:jc w:val="right"/>
              <w:rPr>
                <w:rFonts w:ascii="Calibri" w:hAnsi="Calibri" w:eastAsia="楷体"/>
                <w:kern w:val="0"/>
                <w:szCs w:val="32"/>
              </w:rPr>
            </w:pPr>
          </w:p>
        </w:tc>
        <w:tc>
          <w:tcPr>
            <w:tcW w:w="459" w:type="dxa"/>
            <w:vAlign w:val="center"/>
          </w:tcPr>
          <w:p>
            <w:pPr>
              <w:spacing w:line="700" w:lineRule="exact"/>
              <w:jc w:val="right"/>
              <w:rPr>
                <w:rFonts w:ascii="Calibri" w:hAnsi="Calibri" w:eastAsia="楷体"/>
                <w:kern w:val="0"/>
                <w:szCs w:val="32"/>
              </w:rPr>
            </w:pPr>
          </w:p>
        </w:tc>
        <w:tc>
          <w:tcPr>
            <w:tcW w:w="445" w:type="dxa"/>
            <w:vAlign w:val="center"/>
          </w:tcPr>
          <w:p>
            <w:pPr>
              <w:spacing w:line="700" w:lineRule="exact"/>
              <w:jc w:val="right"/>
              <w:rPr>
                <w:rFonts w:ascii="Calibri" w:hAnsi="Calibri" w:eastAsia="楷体"/>
                <w:kern w:val="0"/>
                <w:szCs w:val="32"/>
              </w:rPr>
            </w:pPr>
          </w:p>
        </w:tc>
        <w:tc>
          <w:tcPr>
            <w:tcW w:w="472" w:type="dxa"/>
            <w:vAlign w:val="center"/>
          </w:tcPr>
          <w:p>
            <w:pPr>
              <w:spacing w:line="700" w:lineRule="exact"/>
              <w:jc w:val="right"/>
              <w:rPr>
                <w:rFonts w:ascii="Calibri" w:hAnsi="Calibri" w:eastAsia="楷体"/>
                <w:kern w:val="0"/>
                <w:szCs w:val="32"/>
              </w:rPr>
            </w:pPr>
          </w:p>
        </w:tc>
        <w:tc>
          <w:tcPr>
            <w:tcW w:w="650" w:type="dxa"/>
            <w:vAlign w:val="center"/>
          </w:tcPr>
          <w:p>
            <w:pPr>
              <w:spacing w:line="700" w:lineRule="exact"/>
              <w:jc w:val="right"/>
              <w:rPr>
                <w:rFonts w:ascii="Calibri" w:hAnsi="Calibri" w:eastAsia="楷体"/>
                <w:kern w:val="0"/>
                <w:szCs w:val="32"/>
              </w:rPr>
            </w:pPr>
          </w:p>
        </w:tc>
        <w:tc>
          <w:tcPr>
            <w:tcW w:w="384" w:type="dxa"/>
            <w:vAlign w:val="center"/>
          </w:tcPr>
          <w:p>
            <w:pPr>
              <w:spacing w:line="700" w:lineRule="exact"/>
              <w:jc w:val="right"/>
              <w:rPr>
                <w:rFonts w:ascii="Calibri" w:hAnsi="Calibri" w:eastAsia="楷体"/>
                <w:kern w:val="0"/>
                <w:szCs w:val="32"/>
              </w:rPr>
            </w:pPr>
          </w:p>
        </w:tc>
        <w:tc>
          <w:tcPr>
            <w:tcW w:w="598" w:type="dxa"/>
            <w:vAlign w:val="center"/>
          </w:tcPr>
          <w:p>
            <w:pPr>
              <w:spacing w:line="700" w:lineRule="exact"/>
              <w:jc w:val="right"/>
              <w:rPr>
                <w:rFonts w:ascii="Calibri" w:hAnsi="Calibri" w:eastAsia="楷体"/>
                <w:kern w:val="0"/>
                <w:szCs w:val="32"/>
              </w:rPr>
            </w:pPr>
          </w:p>
        </w:tc>
        <w:tc>
          <w:tcPr>
            <w:tcW w:w="592" w:type="dxa"/>
            <w:vAlign w:val="center"/>
          </w:tcPr>
          <w:p>
            <w:pPr>
              <w:spacing w:line="700" w:lineRule="exact"/>
              <w:jc w:val="right"/>
              <w:rPr>
                <w:rFonts w:ascii="Calibri" w:hAnsi="Calibri" w:eastAsia="楷体"/>
                <w:kern w:val="0"/>
                <w:szCs w:val="32"/>
              </w:rPr>
            </w:pPr>
          </w:p>
        </w:tc>
        <w:tc>
          <w:tcPr>
            <w:tcW w:w="534" w:type="dxa"/>
            <w:vAlign w:val="center"/>
          </w:tcPr>
          <w:p>
            <w:pPr>
              <w:spacing w:line="700" w:lineRule="exact"/>
              <w:jc w:val="right"/>
              <w:rPr>
                <w:rFonts w:ascii="Calibri" w:hAnsi="Calibri" w:eastAsia="楷体"/>
                <w:kern w:val="0"/>
                <w:szCs w:val="32"/>
              </w:rPr>
            </w:pPr>
          </w:p>
        </w:tc>
      </w:tr>
    </w:tbl>
    <w:tbl>
      <w:tblPr>
        <w:tblStyle w:val="12"/>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2"/>
        <w:tblW w:w="10608" w:type="dxa"/>
        <w:tblInd w:w="-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672"/>
        <w:gridCol w:w="972"/>
        <w:gridCol w:w="2328"/>
        <w:gridCol w:w="468"/>
        <w:gridCol w:w="528"/>
        <w:gridCol w:w="1344"/>
        <w:gridCol w:w="1380"/>
        <w:gridCol w:w="109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0608" w:type="dxa"/>
            <w:gridSpan w:val="10"/>
            <w:tcBorders>
              <w:top w:val="nil"/>
              <w:left w:val="nil"/>
              <w:bottom w:val="single" w:color="000000" w:sz="4" w:space="0"/>
              <w:right w:val="nil"/>
            </w:tcBorders>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7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名称</w:t>
            </w:r>
          </w:p>
        </w:tc>
        <w:tc>
          <w:tcPr>
            <w:tcW w:w="97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32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4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52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164"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143029006龙井市统计局</w:t>
            </w:r>
          </w:p>
        </w:tc>
        <w:tc>
          <w:tcPr>
            <w:tcW w:w="672"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综合统计业务费</w:t>
            </w:r>
          </w:p>
        </w:tc>
        <w:tc>
          <w:tcPr>
            <w:tcW w:w="972"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28.95</w:t>
            </w:r>
          </w:p>
        </w:tc>
        <w:tc>
          <w:tcPr>
            <w:tcW w:w="2328"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确保全省统一调查任务的完成，为主动经济发展新常态，全面落实省、州委和市委决策部署完成全年四个季度全市各项常规数据调查，核算全年全市地区生产总值（GDP），撰写好全年各项统计分析、参考，为市委、市政府科学决策提供统计支撑。通过开展投入产出调查 、城乡住户一体化收支调查、城乡居民人均可支配收入和消费支出调查、扩增规模以下工业样本、统计调查、统计监测及相关工作为市委、市政府提供经济运行各项指标及经济运行分析预测，研判经济发展态势；编撰好202</w:t>
            </w:r>
            <w:r>
              <w:rPr>
                <w:rFonts w:hint="eastAsia" w:ascii="宋体" w:hAnsi="宋体" w:eastAsia="宋体" w:cs="宋体"/>
                <w:kern w:val="0"/>
                <w:sz w:val="20"/>
                <w:szCs w:val="20"/>
                <w:vertAlign w:val="baseline"/>
                <w:lang w:val="en-US" w:eastAsia="zh-CN"/>
              </w:rPr>
              <w:t>4</w:t>
            </w:r>
            <w:r>
              <w:rPr>
                <w:rFonts w:hint="eastAsia" w:ascii="宋体" w:hAnsi="宋体" w:eastAsia="宋体" w:cs="宋体"/>
                <w:kern w:val="0"/>
                <w:sz w:val="20"/>
                <w:szCs w:val="20"/>
                <w:vertAlign w:val="baseline"/>
                <w:lang w:eastAsia="zh-CN"/>
              </w:rPr>
              <w:t>年龙井统计年鉴，为社会提供行业发展经济数据。</w:t>
            </w:r>
          </w:p>
        </w:tc>
        <w:tc>
          <w:tcPr>
            <w:tcW w:w="468" w:type="dxa"/>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528" w:type="dxa"/>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34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统计分析报告篇数</w:t>
            </w:r>
          </w:p>
        </w:tc>
        <w:tc>
          <w:tcPr>
            <w:tcW w:w="138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反映统计分析报告篇数情况。</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r>
              <w:rPr>
                <w:rFonts w:hint="eastAsia" w:ascii="宋体" w:hAnsi="宋体" w:eastAsia="宋体" w:cs="宋体"/>
                <w:kern w:val="0"/>
                <w:sz w:val="20"/>
                <w:szCs w:val="20"/>
                <w:vertAlign w:val="baseline"/>
              </w:rPr>
              <w:t>12篇</w:t>
            </w:r>
          </w:p>
        </w:tc>
        <w:tc>
          <w:tcPr>
            <w:tcW w:w="66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16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2"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2"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2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468" w:type="dxa"/>
            <w:vMerge w:val="restart"/>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528" w:type="dxa"/>
            <w:vMerge w:val="restart"/>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34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编印上年县域经济运行的统计公报，为党政领导决策提供数据支撑</w:t>
            </w:r>
          </w:p>
        </w:tc>
        <w:tc>
          <w:tcPr>
            <w:tcW w:w="138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编印上年县域经济运行的统计公报，为党政领导决策提供数据支撑</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1期</w:t>
            </w:r>
          </w:p>
        </w:tc>
        <w:tc>
          <w:tcPr>
            <w:tcW w:w="660" w:type="dxa"/>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ab/>
            </w:r>
            <w:r>
              <w:rPr>
                <w:rFonts w:hint="eastAsia" w:ascii="宋体" w:hAnsi="宋体" w:eastAsia="宋体" w:cs="宋体"/>
                <w:kern w:val="0"/>
                <w:sz w:val="20"/>
                <w:szCs w:val="20"/>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16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2"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2"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2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468" w:type="dxa"/>
            <w:vMerge w:val="continue"/>
            <w:vAlign w:val="center"/>
          </w:tcPr>
          <w:p>
            <w:pPr>
              <w:spacing w:line="240" w:lineRule="auto"/>
              <w:jc w:val="center"/>
              <w:rPr>
                <w:rFonts w:hint="eastAsia" w:ascii="宋体" w:hAnsi="宋体" w:eastAsia="宋体" w:cs="宋体"/>
                <w:kern w:val="0"/>
                <w:sz w:val="20"/>
                <w:szCs w:val="20"/>
                <w:vertAlign w:val="baseline"/>
              </w:rPr>
            </w:pPr>
          </w:p>
        </w:tc>
        <w:tc>
          <w:tcPr>
            <w:tcW w:w="528" w:type="dxa"/>
            <w:vMerge w:val="continue"/>
            <w:vAlign w:val="center"/>
          </w:tcPr>
          <w:p>
            <w:pPr>
              <w:spacing w:line="240" w:lineRule="auto"/>
              <w:jc w:val="center"/>
              <w:rPr>
                <w:rFonts w:hint="eastAsia" w:ascii="宋体" w:hAnsi="宋体" w:eastAsia="宋体" w:cs="宋体"/>
                <w:kern w:val="0"/>
                <w:sz w:val="20"/>
                <w:szCs w:val="20"/>
                <w:vertAlign w:val="baseline"/>
                <w:lang w:eastAsia="zh-CN"/>
              </w:rPr>
            </w:pPr>
          </w:p>
        </w:tc>
        <w:tc>
          <w:tcPr>
            <w:tcW w:w="134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编印历年县域经济运行的统计年鉴，为党政领导决策提供数据支撑</w:t>
            </w:r>
          </w:p>
        </w:tc>
        <w:tc>
          <w:tcPr>
            <w:tcW w:w="138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编印全</w:t>
            </w:r>
            <w:r>
              <w:rPr>
                <w:rFonts w:hint="eastAsia" w:ascii="宋体" w:hAnsi="宋体" w:eastAsia="宋体" w:cs="宋体"/>
                <w:kern w:val="0"/>
                <w:sz w:val="20"/>
                <w:szCs w:val="20"/>
                <w:vertAlign w:val="baseline"/>
                <w:lang w:val="en-US" w:eastAsia="zh-CN"/>
              </w:rPr>
              <w:t>市</w:t>
            </w:r>
            <w:r>
              <w:rPr>
                <w:rFonts w:hint="eastAsia" w:ascii="宋体" w:hAnsi="宋体" w:eastAsia="宋体" w:cs="宋体"/>
                <w:kern w:val="0"/>
                <w:sz w:val="20"/>
                <w:szCs w:val="20"/>
                <w:vertAlign w:val="baseline"/>
              </w:rPr>
              <w:t>历年经济运行的统计年鉴，为党政领导决策提供数据支撑</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1部</w:t>
            </w:r>
          </w:p>
        </w:tc>
        <w:tc>
          <w:tcPr>
            <w:tcW w:w="66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rPr>
        <w:tc>
          <w:tcPr>
            <w:tcW w:w="116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2"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2"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2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468" w:type="dxa"/>
            <w:vMerge w:val="continue"/>
            <w:vAlign w:val="center"/>
          </w:tcPr>
          <w:p>
            <w:pPr>
              <w:spacing w:line="240" w:lineRule="auto"/>
              <w:jc w:val="center"/>
              <w:rPr>
                <w:rFonts w:hint="eastAsia" w:ascii="宋体" w:hAnsi="宋体" w:eastAsia="宋体" w:cs="宋体"/>
                <w:kern w:val="0"/>
                <w:sz w:val="20"/>
                <w:szCs w:val="20"/>
                <w:vertAlign w:val="baseline"/>
              </w:rPr>
            </w:pPr>
          </w:p>
        </w:tc>
        <w:tc>
          <w:tcPr>
            <w:tcW w:w="528" w:type="dxa"/>
            <w:vMerge w:val="continue"/>
            <w:vAlign w:val="center"/>
          </w:tcPr>
          <w:p>
            <w:pPr>
              <w:spacing w:line="240" w:lineRule="auto"/>
              <w:jc w:val="center"/>
              <w:rPr>
                <w:rFonts w:hint="eastAsia" w:ascii="宋体" w:hAnsi="宋体" w:eastAsia="宋体" w:cs="宋体"/>
                <w:kern w:val="0"/>
                <w:sz w:val="20"/>
                <w:szCs w:val="20"/>
                <w:vertAlign w:val="baseline"/>
                <w:lang w:eastAsia="zh-CN"/>
              </w:rPr>
            </w:pPr>
          </w:p>
        </w:tc>
        <w:tc>
          <w:tcPr>
            <w:tcW w:w="134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编印当年月度经济运行的统计月报，为党政领导决策提供数据支撑</w:t>
            </w:r>
          </w:p>
        </w:tc>
        <w:tc>
          <w:tcPr>
            <w:tcW w:w="138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提供反映当年月度经济运行发展情况，为党政领导决策提供数据支撑，发挥统计参谋和助手作用的统计月报。</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11期</w:t>
            </w:r>
          </w:p>
        </w:tc>
        <w:tc>
          <w:tcPr>
            <w:tcW w:w="66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10</w:t>
            </w:r>
          </w:p>
        </w:tc>
      </w:tr>
    </w:tbl>
    <w:p>
      <w:pPr>
        <w:spacing w:line="700" w:lineRule="exact"/>
        <w:rPr>
          <w:rFonts w:eastAsia="楷体"/>
          <w:kern w:val="0"/>
          <w:szCs w:val="32"/>
        </w:rPr>
      </w:pPr>
    </w:p>
    <w:p>
      <w:pPr>
        <w:spacing w:line="700" w:lineRule="exact"/>
        <w:rPr>
          <w:rFonts w:eastAsia="楷体"/>
          <w:kern w:val="0"/>
          <w:szCs w:val="32"/>
        </w:rPr>
      </w:pPr>
    </w:p>
    <w:tbl>
      <w:tblPr>
        <w:tblStyle w:val="12"/>
        <w:tblW w:w="10608" w:type="dxa"/>
        <w:tblInd w:w="-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696"/>
        <w:gridCol w:w="960"/>
        <w:gridCol w:w="2364"/>
        <w:gridCol w:w="516"/>
        <w:gridCol w:w="468"/>
        <w:gridCol w:w="1332"/>
        <w:gridCol w:w="1404"/>
        <w:gridCol w:w="109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0608" w:type="dxa"/>
            <w:gridSpan w:val="10"/>
            <w:tcBorders>
              <w:top w:val="nil"/>
              <w:left w:val="nil"/>
              <w:bottom w:val="single" w:color="000000" w:sz="4" w:space="0"/>
              <w:right w:val="nil"/>
            </w:tcBorders>
            <w:vAlign w:val="top"/>
          </w:tcPr>
          <w:p>
            <w:pPr>
              <w:widowControl/>
              <w:jc w:val="center"/>
              <w:rPr>
                <w:rFonts w:hint="eastAsia" w:ascii="Calibri" w:hAnsi="Calibri" w:eastAsia="方正小标宋简体" w:cs="Times New Roman"/>
                <w:kern w:val="0"/>
                <w:sz w:val="44"/>
                <w:szCs w:val="44"/>
              </w:rPr>
            </w:pPr>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名称</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36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5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4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3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11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143029006龙井市   统计局</w:t>
            </w:r>
          </w:p>
        </w:tc>
        <w:tc>
          <w:tcPr>
            <w:tcW w:w="69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统计调查综合补助</w:t>
            </w:r>
          </w:p>
        </w:tc>
        <w:tc>
          <w:tcPr>
            <w:tcW w:w="960"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20.00</w:t>
            </w:r>
          </w:p>
        </w:tc>
        <w:tc>
          <w:tcPr>
            <w:tcW w:w="2364"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通过提高记帐户补贴标准，提高住户记帐的热情和责任感，有利于保障记帐户数据的质量，保证最终统计数据的代表性。</w:t>
            </w:r>
          </w:p>
        </w:tc>
        <w:tc>
          <w:tcPr>
            <w:tcW w:w="516" w:type="dxa"/>
            <w:vMerge w:val="restart"/>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468" w:type="dxa"/>
            <w:vMerge w:val="restart"/>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33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抽样调查点发放补贴次数</w:t>
            </w:r>
          </w:p>
        </w:tc>
        <w:tc>
          <w:tcPr>
            <w:tcW w:w="140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按照工作及劳务费相关要求，抽样调查点发放补贴次数</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4次</w:t>
            </w:r>
          </w:p>
        </w:tc>
        <w:tc>
          <w:tcPr>
            <w:tcW w:w="66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1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6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6" w:type="dxa"/>
            <w:vMerge w:val="continue"/>
            <w:vAlign w:val="center"/>
          </w:tcPr>
          <w:p>
            <w:pPr>
              <w:spacing w:line="240" w:lineRule="auto"/>
              <w:jc w:val="center"/>
              <w:rPr>
                <w:rFonts w:hint="eastAsia" w:ascii="宋体" w:hAnsi="宋体" w:eastAsia="宋体" w:cs="宋体"/>
                <w:kern w:val="0"/>
                <w:sz w:val="20"/>
                <w:szCs w:val="20"/>
                <w:vertAlign w:val="baseline"/>
                <w:lang w:eastAsia="zh-CN"/>
              </w:rPr>
            </w:pPr>
          </w:p>
        </w:tc>
        <w:tc>
          <w:tcPr>
            <w:tcW w:w="468" w:type="dxa"/>
            <w:vMerge w:val="continue"/>
            <w:vAlign w:val="center"/>
          </w:tcPr>
          <w:p>
            <w:pPr>
              <w:spacing w:line="240" w:lineRule="auto"/>
              <w:jc w:val="center"/>
              <w:rPr>
                <w:rFonts w:hint="eastAsia" w:ascii="宋体" w:hAnsi="宋体" w:eastAsia="宋体" w:cs="宋体"/>
                <w:kern w:val="0"/>
                <w:sz w:val="20"/>
                <w:szCs w:val="20"/>
                <w:vertAlign w:val="baseline"/>
                <w:lang w:eastAsia="zh-CN"/>
              </w:rPr>
            </w:pPr>
          </w:p>
        </w:tc>
        <w:tc>
          <w:tcPr>
            <w:tcW w:w="133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调查户登记补贴发放人数</w:t>
            </w:r>
          </w:p>
        </w:tc>
        <w:tc>
          <w:tcPr>
            <w:tcW w:w="140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反映发放调查户登记补贴的人数情况。</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160户</w:t>
            </w:r>
          </w:p>
        </w:tc>
        <w:tc>
          <w:tcPr>
            <w:tcW w:w="660" w:type="dxa"/>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1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6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6" w:type="dxa"/>
            <w:vMerge w:val="restart"/>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468" w:type="dxa"/>
            <w:vMerge w:val="restart"/>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33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调查户、调查员补助发放覆盖率</w:t>
            </w:r>
          </w:p>
        </w:tc>
        <w:tc>
          <w:tcPr>
            <w:tcW w:w="140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反映抽样调查户补助发放覆盖情况。</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100%</w:t>
            </w:r>
          </w:p>
        </w:tc>
        <w:tc>
          <w:tcPr>
            <w:tcW w:w="660" w:type="dxa"/>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1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6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516" w:type="dxa"/>
            <w:vMerge w:val="continue"/>
            <w:vAlign w:val="center"/>
          </w:tcPr>
          <w:p>
            <w:pPr>
              <w:spacing w:line="240" w:lineRule="auto"/>
              <w:jc w:val="center"/>
              <w:rPr>
                <w:rFonts w:hint="eastAsia" w:ascii="宋体" w:hAnsi="宋体" w:eastAsia="宋体" w:cs="宋体"/>
                <w:kern w:val="0"/>
                <w:sz w:val="20"/>
                <w:szCs w:val="20"/>
                <w:vertAlign w:val="baseline"/>
              </w:rPr>
            </w:pPr>
          </w:p>
        </w:tc>
        <w:tc>
          <w:tcPr>
            <w:tcW w:w="468" w:type="dxa"/>
            <w:vMerge w:val="continue"/>
            <w:vAlign w:val="center"/>
          </w:tcPr>
          <w:p>
            <w:pPr>
              <w:spacing w:line="240" w:lineRule="auto"/>
              <w:jc w:val="center"/>
              <w:rPr>
                <w:rFonts w:hint="eastAsia" w:ascii="宋体" w:hAnsi="宋体" w:eastAsia="宋体" w:cs="宋体"/>
                <w:kern w:val="0"/>
                <w:sz w:val="20"/>
                <w:szCs w:val="20"/>
                <w:vertAlign w:val="baseline"/>
                <w:lang w:eastAsia="zh-CN"/>
              </w:rPr>
            </w:pPr>
          </w:p>
        </w:tc>
        <w:tc>
          <w:tcPr>
            <w:tcW w:w="133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过提供收入数据，为制定城乡统筹政策和民生的需要提供依据</w:t>
            </w:r>
          </w:p>
        </w:tc>
        <w:tc>
          <w:tcPr>
            <w:tcW w:w="1404"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按照抽样的方法，选择一定比例的城乡居民进行记账，在一季度完成后核定上年度收入数据。</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1期</w:t>
            </w:r>
          </w:p>
        </w:tc>
        <w:tc>
          <w:tcPr>
            <w:tcW w:w="660"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w:t>
            </w: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159.93</w:t>
      </w:r>
      <w:r>
        <w:rPr>
          <w:szCs w:val="32"/>
        </w:rPr>
        <w:t>万元</w:t>
      </w:r>
      <w:r>
        <w:rPr>
          <w:rFonts w:hint="eastAsia"/>
          <w:szCs w:val="32"/>
          <w:lang w:eastAsia="zh-CN"/>
        </w:rPr>
        <w:t>，其中：本年预算</w:t>
      </w:r>
      <w:r>
        <w:rPr>
          <w:rFonts w:hint="eastAsia"/>
          <w:szCs w:val="32"/>
          <w:lang w:val="en-US" w:eastAsia="zh-CN"/>
        </w:rPr>
        <w:t>159.93</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11.58</w:t>
      </w:r>
      <w:r>
        <w:rPr>
          <w:szCs w:val="32"/>
        </w:rPr>
        <w:t>万元，主要原因是</w:t>
      </w:r>
      <w:r>
        <w:rPr>
          <w:rFonts w:hint="eastAsia" w:cs="Times New Roman"/>
          <w:szCs w:val="32"/>
          <w:lang w:eastAsia="zh-CN"/>
        </w:rPr>
        <w:t>本年度无专项普查项目，因此收入减少</w:t>
      </w:r>
      <w:r>
        <w:rPr>
          <w:rFonts w:hint="eastAsia"/>
          <w:szCs w:val="32"/>
          <w:lang w:val="en-US" w:eastAsia="zh-CN"/>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159.93</w:t>
      </w:r>
      <w:r>
        <w:rPr>
          <w:szCs w:val="32"/>
        </w:rPr>
        <w:t>万元，其中：本年收入</w:t>
      </w:r>
      <w:r>
        <w:rPr>
          <w:rFonts w:hint="eastAsia"/>
          <w:szCs w:val="32"/>
          <w:lang w:val="en-US" w:eastAsia="zh-CN"/>
        </w:rPr>
        <w:t>159.93</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159.93</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159.93</w:t>
      </w:r>
      <w:r>
        <w:rPr>
          <w:szCs w:val="32"/>
        </w:rPr>
        <w:t>万元，其中：基本支出</w:t>
      </w:r>
      <w:r>
        <w:rPr>
          <w:rFonts w:hint="eastAsia"/>
          <w:szCs w:val="32"/>
          <w:lang w:val="en-US" w:eastAsia="zh-CN"/>
        </w:rPr>
        <w:t>110.98</w:t>
      </w:r>
      <w:r>
        <w:rPr>
          <w:szCs w:val="32"/>
        </w:rPr>
        <w:t>万元，占</w:t>
      </w:r>
      <w:r>
        <w:rPr>
          <w:rFonts w:hint="eastAsia"/>
          <w:szCs w:val="32"/>
          <w:lang w:val="en-US" w:eastAsia="zh-CN"/>
        </w:rPr>
        <w:t>69.39</w:t>
      </w:r>
      <w:r>
        <w:rPr>
          <w:szCs w:val="32"/>
        </w:rPr>
        <w:t>%；项目支出</w:t>
      </w:r>
      <w:r>
        <w:rPr>
          <w:rFonts w:hint="eastAsia"/>
          <w:szCs w:val="32"/>
          <w:lang w:val="en-US" w:eastAsia="zh-CN"/>
        </w:rPr>
        <w:t>48.95</w:t>
      </w:r>
      <w:r>
        <w:rPr>
          <w:szCs w:val="32"/>
        </w:rPr>
        <w:t>万元，占</w:t>
      </w:r>
      <w:r>
        <w:rPr>
          <w:rFonts w:hint="eastAsia"/>
          <w:szCs w:val="32"/>
          <w:lang w:val="en-US" w:eastAsia="zh-CN"/>
        </w:rPr>
        <w:t>30.61</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159.93</w:t>
      </w:r>
      <w:r>
        <w:rPr>
          <w:szCs w:val="32"/>
        </w:rPr>
        <w:t>万元，其中：</w:t>
      </w:r>
      <w:r>
        <w:rPr>
          <w:rFonts w:hint="eastAsia"/>
          <w:szCs w:val="32"/>
        </w:rPr>
        <w:t>本年</w:t>
      </w:r>
      <w:r>
        <w:rPr>
          <w:rFonts w:hint="eastAsia"/>
          <w:szCs w:val="32"/>
          <w:lang w:eastAsia="zh-CN"/>
        </w:rPr>
        <w:t>预算</w:t>
      </w:r>
      <w:r>
        <w:rPr>
          <w:rFonts w:hint="eastAsia"/>
          <w:szCs w:val="32"/>
          <w:lang w:val="en-US" w:eastAsia="zh-CN"/>
        </w:rPr>
        <w:t>159.93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131.19</w:t>
      </w:r>
      <w:r>
        <w:rPr>
          <w:szCs w:val="32"/>
        </w:rPr>
        <w:t>万元</w:t>
      </w:r>
      <w:r>
        <w:rPr>
          <w:rFonts w:hint="eastAsia"/>
          <w:szCs w:val="32"/>
          <w:lang w:eastAsia="zh-CN"/>
        </w:rPr>
        <w:t>，</w:t>
      </w:r>
      <w:r>
        <w:rPr>
          <w:kern w:val="0"/>
          <w:szCs w:val="32"/>
        </w:rPr>
        <w:t>社会保障和就业支出</w:t>
      </w:r>
      <w:r>
        <w:rPr>
          <w:rFonts w:hint="eastAsia"/>
          <w:szCs w:val="32"/>
          <w:lang w:val="en-US" w:eastAsia="zh-CN"/>
        </w:rPr>
        <w:t>17.60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3.19</w:t>
      </w:r>
      <w:r>
        <w:rPr>
          <w:szCs w:val="32"/>
        </w:rPr>
        <w:t>万元，</w:t>
      </w:r>
      <w:r>
        <w:rPr>
          <w:kern w:val="0"/>
          <w:szCs w:val="32"/>
        </w:rPr>
        <w:t>住房保障支出</w:t>
      </w:r>
      <w:r>
        <w:rPr>
          <w:rFonts w:hint="eastAsia"/>
          <w:szCs w:val="32"/>
          <w:lang w:val="en-US" w:eastAsia="zh-CN"/>
        </w:rPr>
        <w:t>7.95</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159.93</w:t>
      </w:r>
      <w:r>
        <w:rPr>
          <w:szCs w:val="32"/>
        </w:rPr>
        <w:t>元，其中：基本支出</w:t>
      </w:r>
      <w:r>
        <w:rPr>
          <w:rFonts w:hint="eastAsia"/>
          <w:szCs w:val="32"/>
          <w:lang w:val="en-US" w:eastAsia="zh-CN"/>
        </w:rPr>
        <w:t>110.98</w:t>
      </w:r>
      <w:r>
        <w:rPr>
          <w:szCs w:val="32"/>
        </w:rPr>
        <w:t>万元，占</w:t>
      </w:r>
      <w:r>
        <w:rPr>
          <w:rFonts w:hint="eastAsia"/>
          <w:szCs w:val="32"/>
          <w:lang w:val="en-US" w:eastAsia="zh-CN"/>
        </w:rPr>
        <w:t>69.39</w:t>
      </w:r>
      <w:r>
        <w:rPr>
          <w:szCs w:val="32"/>
        </w:rPr>
        <w:t>%；项目支出</w:t>
      </w:r>
      <w:r>
        <w:rPr>
          <w:rFonts w:hint="eastAsia"/>
          <w:szCs w:val="32"/>
          <w:lang w:val="en-US" w:eastAsia="zh-CN"/>
        </w:rPr>
        <w:t>48.95</w:t>
      </w:r>
      <w:r>
        <w:rPr>
          <w:szCs w:val="32"/>
        </w:rPr>
        <w:t>万元，占</w:t>
      </w:r>
      <w:r>
        <w:rPr>
          <w:rFonts w:hint="eastAsia"/>
          <w:szCs w:val="32"/>
          <w:lang w:val="en-US" w:eastAsia="zh-CN"/>
        </w:rPr>
        <w:t>30.61</w:t>
      </w:r>
      <w:r>
        <w:rPr>
          <w:szCs w:val="32"/>
        </w:rPr>
        <w:t>%。基本支出中，人员经费</w:t>
      </w:r>
      <w:r>
        <w:rPr>
          <w:rFonts w:hint="eastAsia"/>
          <w:szCs w:val="32"/>
          <w:lang w:val="en-US" w:eastAsia="zh-CN"/>
        </w:rPr>
        <w:t>91.81</w:t>
      </w:r>
      <w:r>
        <w:rPr>
          <w:szCs w:val="32"/>
        </w:rPr>
        <w:t>万元，占</w:t>
      </w:r>
      <w:r>
        <w:rPr>
          <w:rFonts w:hint="eastAsia"/>
          <w:szCs w:val="32"/>
          <w:lang w:val="en-US" w:eastAsia="zh-CN"/>
        </w:rPr>
        <w:t>82.73</w:t>
      </w:r>
      <w:r>
        <w:rPr>
          <w:szCs w:val="32"/>
        </w:rPr>
        <w:t>%；公用经费</w:t>
      </w:r>
      <w:r>
        <w:rPr>
          <w:rFonts w:hint="eastAsia"/>
          <w:szCs w:val="32"/>
          <w:lang w:val="en-US" w:eastAsia="zh-CN"/>
        </w:rPr>
        <w:t>19.17</w:t>
      </w:r>
      <w:r>
        <w:rPr>
          <w:szCs w:val="32"/>
        </w:rPr>
        <w:t>万元，占</w:t>
      </w:r>
      <w:r>
        <w:rPr>
          <w:rFonts w:hint="eastAsia"/>
          <w:szCs w:val="32"/>
          <w:lang w:val="en-US" w:eastAsia="zh-CN"/>
        </w:rPr>
        <w:t>17.27</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131.19</w:t>
      </w:r>
      <w:r>
        <w:rPr>
          <w:szCs w:val="32"/>
        </w:rPr>
        <w:t>万元，占</w:t>
      </w:r>
      <w:r>
        <w:rPr>
          <w:rFonts w:hint="eastAsia"/>
          <w:szCs w:val="32"/>
          <w:lang w:val="en-US" w:eastAsia="zh-CN"/>
        </w:rPr>
        <w:t>82.03</w:t>
      </w:r>
      <w:r>
        <w:rPr>
          <w:szCs w:val="32"/>
        </w:rPr>
        <w:t>%，主要用于主要用于</w:t>
      </w:r>
      <w:r>
        <w:rPr>
          <w:rFonts w:hint="eastAsia"/>
          <w:szCs w:val="32"/>
        </w:rPr>
        <w:t>保障职工工资，维持机关正常运转以及完成年度统计工作任务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17.60</w:t>
      </w:r>
      <w:r>
        <w:rPr>
          <w:szCs w:val="32"/>
        </w:rPr>
        <w:t>万元，占</w:t>
      </w:r>
      <w:r>
        <w:rPr>
          <w:rFonts w:hint="eastAsia"/>
          <w:szCs w:val="32"/>
          <w:lang w:val="en-US" w:eastAsia="zh-CN"/>
        </w:rPr>
        <w:t>11.01</w:t>
      </w:r>
      <w:r>
        <w:rPr>
          <w:szCs w:val="32"/>
        </w:rPr>
        <w:t>%，主要用于</w:t>
      </w:r>
      <w:r>
        <w:rPr>
          <w:rFonts w:hint="eastAsia"/>
          <w:szCs w:val="32"/>
        </w:rPr>
        <w:t>保障机关事业单位基本养老保险缴费支出</w:t>
      </w:r>
      <w:r>
        <w:rPr>
          <w:szCs w:val="32"/>
        </w:rPr>
        <w:t>。</w:t>
      </w:r>
    </w:p>
    <w:p>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3.19</w:t>
      </w:r>
      <w:r>
        <w:rPr>
          <w:szCs w:val="32"/>
        </w:rPr>
        <w:t>万元，占</w:t>
      </w:r>
      <w:r>
        <w:rPr>
          <w:rFonts w:hint="eastAsia"/>
          <w:szCs w:val="32"/>
          <w:lang w:val="en-US" w:eastAsia="zh-CN"/>
        </w:rPr>
        <w:t>1.99</w:t>
      </w:r>
      <w:r>
        <w:rPr>
          <w:szCs w:val="32"/>
        </w:rPr>
        <w:t>%，主要用于</w:t>
      </w:r>
      <w:r>
        <w:rPr>
          <w:rFonts w:hint="eastAsia"/>
          <w:color w:val="auto"/>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7.95</w:t>
      </w:r>
      <w:r>
        <w:rPr>
          <w:szCs w:val="32"/>
        </w:rPr>
        <w:t>万元，占</w:t>
      </w:r>
      <w:r>
        <w:rPr>
          <w:rFonts w:hint="eastAsia"/>
          <w:szCs w:val="32"/>
          <w:lang w:val="en-US" w:eastAsia="zh-CN"/>
        </w:rPr>
        <w:t>4.97</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110.98</w:t>
      </w:r>
      <w:r>
        <w:rPr>
          <w:szCs w:val="32"/>
        </w:rPr>
        <w:t>万元，其中：</w:t>
      </w:r>
    </w:p>
    <w:p>
      <w:pPr>
        <w:ind w:firstLine="640" w:firstLineChars="200"/>
        <w:rPr>
          <w:kern w:val="0"/>
          <w:szCs w:val="32"/>
        </w:rPr>
      </w:pPr>
      <w:r>
        <w:rPr>
          <w:szCs w:val="32"/>
        </w:rPr>
        <w:t>人员经费</w:t>
      </w:r>
      <w:r>
        <w:rPr>
          <w:rFonts w:hint="eastAsia"/>
          <w:szCs w:val="32"/>
          <w:lang w:val="en-US" w:eastAsia="zh-CN"/>
        </w:rPr>
        <w:t>91.81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19.17</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eastAsia="zh-CN"/>
        </w:rPr>
        <w:t>手续费、</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0.12</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0.03</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当年</w:t>
      </w:r>
      <w:r>
        <w:rPr>
          <w:szCs w:val="32"/>
        </w:rPr>
        <w:t>预算数</w:t>
      </w:r>
      <w:r>
        <w:rPr>
          <w:rFonts w:hint="eastAsia"/>
          <w:szCs w:val="32"/>
          <w:lang w:val="en-US"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0.12</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0.03</w:t>
      </w:r>
      <w:r>
        <w:rPr>
          <w:szCs w:val="32"/>
        </w:rPr>
        <w:t>万元，主要原因是</w:t>
      </w:r>
      <w:r>
        <w:rPr>
          <w:rFonts w:hint="eastAsia"/>
          <w:szCs w:val="32"/>
          <w:lang w:val="en-US" w:eastAsia="zh-CN"/>
        </w:rPr>
        <w:t>2025年核定的公务接待费减少</w:t>
      </w:r>
      <w:r>
        <w:rPr>
          <w:rFonts w:hint="eastAsia"/>
          <w:szCs w:val="32"/>
          <w:lang w:eastAsia="zh-CN"/>
        </w:rPr>
        <w:t>。</w:t>
      </w:r>
    </w:p>
    <w:p>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当年</w:t>
      </w:r>
      <w:r>
        <w:rPr>
          <w:szCs w:val="32"/>
        </w:rPr>
        <w:t>预算</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rPr>
          <w:rFonts w:eastAsia="楷体"/>
          <w:szCs w:val="32"/>
        </w:rPr>
      </w:pPr>
      <w:r>
        <w:rPr>
          <w:rFonts w:hint="eastAsia"/>
          <w:szCs w:val="32"/>
        </w:rPr>
        <w:t>本单位无政府性基金预算</w:t>
      </w:r>
      <w:r>
        <w:rPr>
          <w:rFonts w:hint="eastAsia"/>
          <w:szCs w:val="32"/>
          <w:lang w:val="en-US" w:eastAsia="zh-CN"/>
        </w:rPr>
        <w:t>拨款</w:t>
      </w:r>
      <w:r>
        <w:rPr>
          <w:rFonts w:hint="eastAsia"/>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19.17</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val="en-US" w:eastAsia="zh-CN"/>
        </w:rPr>
        <w:t>增加0.23</w:t>
      </w:r>
      <w:r>
        <w:rPr>
          <w:szCs w:val="32"/>
        </w:rPr>
        <w:t>万元，</w:t>
      </w:r>
      <w:r>
        <w:rPr>
          <w:rFonts w:hint="eastAsia"/>
          <w:szCs w:val="32"/>
          <w:lang w:val="en-US" w:eastAsia="zh-CN"/>
        </w:rPr>
        <w:t>增长1.21</w:t>
      </w:r>
      <w:r>
        <w:rPr>
          <w:szCs w:val="32"/>
        </w:rPr>
        <w:t>%</w:t>
      </w:r>
      <w:r>
        <w:rPr>
          <w:rFonts w:hint="eastAsia"/>
          <w:szCs w:val="32"/>
        </w:rPr>
        <w:t>，主要原因是</w:t>
      </w:r>
      <w:r>
        <w:rPr>
          <w:rFonts w:hint="eastAsia"/>
          <w:color w:val="000000"/>
          <w:szCs w:val="32"/>
        </w:rPr>
        <w:t>202</w:t>
      </w:r>
      <w:r>
        <w:rPr>
          <w:rFonts w:hint="eastAsia"/>
          <w:color w:val="000000"/>
          <w:szCs w:val="32"/>
          <w:lang w:val="en-US" w:eastAsia="zh-CN"/>
        </w:rPr>
        <w:t>5</w:t>
      </w:r>
      <w:r>
        <w:rPr>
          <w:rFonts w:hint="eastAsia"/>
          <w:color w:val="000000"/>
          <w:szCs w:val="32"/>
        </w:rPr>
        <w:t>年</w:t>
      </w:r>
      <w:r>
        <w:rPr>
          <w:rFonts w:hint="eastAsia"/>
          <w:szCs w:val="32"/>
          <w:lang w:val="en-US" w:eastAsia="zh-CN"/>
        </w:rPr>
        <w:t>预算核定的公用经费增加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lang w:val="en-US" w:eastAsia="zh-CN"/>
        </w:rPr>
      </w:pPr>
      <w:r>
        <w:rPr>
          <w:rFonts w:hint="eastAsia"/>
          <w:szCs w:val="32"/>
          <w:lang w:val="en-US" w:eastAsia="zh-CN"/>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ascii="仿宋_GB2312" w:hAnsi="仿宋_GB2312" w:cs="仿宋_GB2312"/>
          <w:szCs w:val="32"/>
          <w:lang w:val="en-US" w:eastAsia="zh-CN"/>
        </w:rPr>
        <w:t>本单位无国有资产。</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48.95</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48.95</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spacing w:line="540" w:lineRule="exact"/>
        <w:ind w:firstLine="640" w:firstLineChars="200"/>
        <w:rPr>
          <w:rFonts w:hint="eastAsia" w:eastAsia="仿宋_GB2312"/>
          <w:szCs w:val="32"/>
          <w:lang w:val="en-US" w:eastAsia="zh-CN"/>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48.95万元。</w:t>
      </w: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ind w:firstLine="640" w:firstLineChars="200"/>
        <w:rPr>
          <w:szCs w:val="32"/>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0"/>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971F9"/>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BB3C49"/>
    <w:rsid w:val="03D57286"/>
    <w:rsid w:val="0486486A"/>
    <w:rsid w:val="04881FBF"/>
    <w:rsid w:val="04954460"/>
    <w:rsid w:val="04B818D1"/>
    <w:rsid w:val="050D06DA"/>
    <w:rsid w:val="051448F8"/>
    <w:rsid w:val="05310B72"/>
    <w:rsid w:val="05513E94"/>
    <w:rsid w:val="056F5A6D"/>
    <w:rsid w:val="059B3770"/>
    <w:rsid w:val="063949A0"/>
    <w:rsid w:val="06BD5BC7"/>
    <w:rsid w:val="06F008FF"/>
    <w:rsid w:val="077E1262"/>
    <w:rsid w:val="079E5032"/>
    <w:rsid w:val="08C165FF"/>
    <w:rsid w:val="09015F14"/>
    <w:rsid w:val="091C5C63"/>
    <w:rsid w:val="09421190"/>
    <w:rsid w:val="09A0082A"/>
    <w:rsid w:val="0A00435B"/>
    <w:rsid w:val="0A736676"/>
    <w:rsid w:val="0AAA1697"/>
    <w:rsid w:val="0ABA06FE"/>
    <w:rsid w:val="0B49202F"/>
    <w:rsid w:val="0B5F5ADA"/>
    <w:rsid w:val="0B956BE6"/>
    <w:rsid w:val="0C2A5C84"/>
    <w:rsid w:val="0C4F64D9"/>
    <w:rsid w:val="0C583939"/>
    <w:rsid w:val="0C656D19"/>
    <w:rsid w:val="0C6D1BAE"/>
    <w:rsid w:val="0D2A2435"/>
    <w:rsid w:val="0DA001B0"/>
    <w:rsid w:val="0DEB170B"/>
    <w:rsid w:val="0E4B2D65"/>
    <w:rsid w:val="0E4C7841"/>
    <w:rsid w:val="0E97506F"/>
    <w:rsid w:val="0EAF340D"/>
    <w:rsid w:val="0F3E0406"/>
    <w:rsid w:val="0F980230"/>
    <w:rsid w:val="0FD62F63"/>
    <w:rsid w:val="0FDE2A27"/>
    <w:rsid w:val="10AE7F82"/>
    <w:rsid w:val="10C93B35"/>
    <w:rsid w:val="11177619"/>
    <w:rsid w:val="112605C8"/>
    <w:rsid w:val="11A6707B"/>
    <w:rsid w:val="11B35B2F"/>
    <w:rsid w:val="12E711B7"/>
    <w:rsid w:val="12FE01D4"/>
    <w:rsid w:val="136D62BD"/>
    <w:rsid w:val="136E4388"/>
    <w:rsid w:val="13F21722"/>
    <w:rsid w:val="1441443C"/>
    <w:rsid w:val="149B4236"/>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D14397"/>
    <w:rsid w:val="1FED47E9"/>
    <w:rsid w:val="206816AC"/>
    <w:rsid w:val="21134335"/>
    <w:rsid w:val="226E581D"/>
    <w:rsid w:val="22A4003E"/>
    <w:rsid w:val="22AF5BCB"/>
    <w:rsid w:val="23135C25"/>
    <w:rsid w:val="231B6AB4"/>
    <w:rsid w:val="23726F23"/>
    <w:rsid w:val="23EC61F6"/>
    <w:rsid w:val="244C543C"/>
    <w:rsid w:val="24624768"/>
    <w:rsid w:val="24A8271E"/>
    <w:rsid w:val="254029E1"/>
    <w:rsid w:val="259B5BC5"/>
    <w:rsid w:val="25EF7FBC"/>
    <w:rsid w:val="25F62C4E"/>
    <w:rsid w:val="26643D6C"/>
    <w:rsid w:val="26FE109D"/>
    <w:rsid w:val="27073E1E"/>
    <w:rsid w:val="27B04AB3"/>
    <w:rsid w:val="27D91C63"/>
    <w:rsid w:val="282C3BA1"/>
    <w:rsid w:val="28A63332"/>
    <w:rsid w:val="28C96E8E"/>
    <w:rsid w:val="29527C78"/>
    <w:rsid w:val="295D729E"/>
    <w:rsid w:val="29C45F24"/>
    <w:rsid w:val="2B544CF9"/>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3DF4F28"/>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356705"/>
    <w:rsid w:val="4D3439E8"/>
    <w:rsid w:val="4D4E2809"/>
    <w:rsid w:val="4D730507"/>
    <w:rsid w:val="4D741DD3"/>
    <w:rsid w:val="4D7A5509"/>
    <w:rsid w:val="4DC93207"/>
    <w:rsid w:val="4E010C4C"/>
    <w:rsid w:val="4E214B2B"/>
    <w:rsid w:val="4E682B37"/>
    <w:rsid w:val="4E8D5761"/>
    <w:rsid w:val="4EF54A85"/>
    <w:rsid w:val="4EF972C6"/>
    <w:rsid w:val="4FCD0CC1"/>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8D01DF4"/>
    <w:rsid w:val="591C5F7E"/>
    <w:rsid w:val="592658BC"/>
    <w:rsid w:val="59472AC7"/>
    <w:rsid w:val="59997BAD"/>
    <w:rsid w:val="59D514A6"/>
    <w:rsid w:val="59EC6E09"/>
    <w:rsid w:val="5AB343F7"/>
    <w:rsid w:val="5ABF50F2"/>
    <w:rsid w:val="5AF25D13"/>
    <w:rsid w:val="5AF76904"/>
    <w:rsid w:val="5B052E7A"/>
    <w:rsid w:val="5B3D7F7E"/>
    <w:rsid w:val="5B7C7777"/>
    <w:rsid w:val="5B9C74CE"/>
    <w:rsid w:val="5BEC6771"/>
    <w:rsid w:val="5C1378B8"/>
    <w:rsid w:val="5C681D31"/>
    <w:rsid w:val="5CA506B9"/>
    <w:rsid w:val="5CF74CE4"/>
    <w:rsid w:val="5D5A7C63"/>
    <w:rsid w:val="5E0E58DE"/>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6D02B42"/>
    <w:rsid w:val="67592674"/>
    <w:rsid w:val="679461D3"/>
    <w:rsid w:val="6858287E"/>
    <w:rsid w:val="68593A1E"/>
    <w:rsid w:val="68C04D52"/>
    <w:rsid w:val="68D33DE9"/>
    <w:rsid w:val="69157114"/>
    <w:rsid w:val="691A443E"/>
    <w:rsid w:val="69246996"/>
    <w:rsid w:val="69E203A0"/>
    <w:rsid w:val="6A5B6D7D"/>
    <w:rsid w:val="6A765FBC"/>
    <w:rsid w:val="6A80735F"/>
    <w:rsid w:val="6AC17181"/>
    <w:rsid w:val="6ACC5E47"/>
    <w:rsid w:val="6AD43ED1"/>
    <w:rsid w:val="6B11024D"/>
    <w:rsid w:val="6B7D5B36"/>
    <w:rsid w:val="6C834DAA"/>
    <w:rsid w:val="6C993CCE"/>
    <w:rsid w:val="6CF120A8"/>
    <w:rsid w:val="6D4D7DA5"/>
    <w:rsid w:val="6D72413D"/>
    <w:rsid w:val="6DBA1D64"/>
    <w:rsid w:val="6DCC3677"/>
    <w:rsid w:val="6F94055D"/>
    <w:rsid w:val="6FF50B81"/>
    <w:rsid w:val="70330B9C"/>
    <w:rsid w:val="709D17BE"/>
    <w:rsid w:val="714213DD"/>
    <w:rsid w:val="717F272E"/>
    <w:rsid w:val="72783A23"/>
    <w:rsid w:val="728027C6"/>
    <w:rsid w:val="73D62FA6"/>
    <w:rsid w:val="73FE7ACC"/>
    <w:rsid w:val="74556746"/>
    <w:rsid w:val="74743258"/>
    <w:rsid w:val="75FA2D4B"/>
    <w:rsid w:val="7600180D"/>
    <w:rsid w:val="761B13C4"/>
    <w:rsid w:val="764B6A8A"/>
    <w:rsid w:val="76C17E06"/>
    <w:rsid w:val="76CA67BD"/>
    <w:rsid w:val="76E6298C"/>
    <w:rsid w:val="76F125B0"/>
    <w:rsid w:val="770021AC"/>
    <w:rsid w:val="774E6400"/>
    <w:rsid w:val="775B0046"/>
    <w:rsid w:val="796467BD"/>
    <w:rsid w:val="79700BEF"/>
    <w:rsid w:val="798D552B"/>
    <w:rsid w:val="7A090695"/>
    <w:rsid w:val="7A1D5951"/>
    <w:rsid w:val="7A55665A"/>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0">
    <w:name w:val="page number"/>
    <w:basedOn w:val="9"/>
    <w:qFormat/>
    <w:uiPriority w:val="0"/>
  </w:style>
  <w:style w:type="table" w:styleId="12">
    <w:name w:val="Table Grid"/>
    <w:basedOn w:val="1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5899</Words>
  <Characters>7077</Characters>
  <Lines>71</Lines>
  <Paragraphs>20</Paragraphs>
  <TotalTime>23</TotalTime>
  <ScaleCrop>false</ScaleCrop>
  <LinksUpToDate>false</LinksUpToDate>
  <CharactersWithSpaces>7688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Aaaa. 성준맘</cp:lastModifiedBy>
  <cp:lastPrinted>2025-02-11T03:07:00Z</cp:lastPrinted>
  <dcterms:modified xsi:type="dcterms:W3CDTF">2025-02-19T02:25:07Z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DCE2488A59ED425F8330D18FE76F5BBB_13</vt:lpwstr>
  </property>
  <property fmtid="{D5CDD505-2E9C-101B-9397-08002B2CF9AE}" pid="4" name="KSOTemplateDocerSaveRecord">
    <vt:lpwstr>eyJoZGlkIjoiNTJmNzEwMjllYzM2ZWQzMTg4MWNmNDYwM2E3Y2E1NmYiLCJ1c2VySWQiOiI1MDY2NzgxMzMifQ==</vt:lpwstr>
  </property>
</Properties>
</file>